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6BD82">
      <w:pPr>
        <w:spacing w:line="360" w:lineRule="auto"/>
        <w:jc w:val="center"/>
        <w:rPr>
          <w:rFonts w:hint="eastAsia" w:ascii="方正小标宋_GBK" w:hAnsi="方正小标宋_GBK" w:eastAsia="方正小标宋_GBK"/>
          <w:b/>
          <w:sz w:val="44"/>
          <w:szCs w:val="44"/>
        </w:rPr>
      </w:pPr>
      <w:bookmarkStart w:id="0" w:name="_GoBack"/>
      <w:bookmarkEnd w:id="0"/>
      <w:r>
        <w:rPr>
          <w:rFonts w:ascii="方正小标宋_GBK" w:hAnsi="方正小标宋_GBK" w:eastAsia="方正小标宋_GBK"/>
          <w:b/>
          <w:spacing w:val="-2"/>
          <w:sz w:val="44"/>
          <w:szCs w:val="44"/>
        </w:rPr>
        <w:t>上海理工大学基础学部研究生国家奖学金评审细则</w:t>
      </w:r>
      <w:r>
        <w:rPr>
          <w:rFonts w:ascii="方正小标宋_GBK" w:hAnsi="方正小标宋_GBK" w:eastAsia="方正小标宋_GBK"/>
          <w:b/>
          <w:spacing w:val="-4"/>
          <w:sz w:val="44"/>
          <w:szCs w:val="44"/>
        </w:rPr>
        <w:t>(试行)</w:t>
      </w:r>
    </w:p>
    <w:p w14:paraId="21E0FA79">
      <w:pPr>
        <w:pStyle w:val="4"/>
        <w:spacing w:line="360" w:lineRule="auto"/>
        <w:ind w:left="0" w:firstLine="636" w:firstLineChars="200"/>
        <w:jc w:val="both"/>
        <w:rPr>
          <w:rFonts w:hint="eastAsia" w:ascii="仿宋" w:hAnsi="仿宋" w:eastAsia="仿宋"/>
          <w:spacing w:val="-1"/>
        </w:rPr>
      </w:pPr>
      <w:r>
        <w:rPr>
          <w:rFonts w:ascii="仿宋" w:hAnsi="仿宋" w:eastAsia="仿宋"/>
          <w:spacing w:val="-1"/>
        </w:rPr>
        <w:t>根据《上海理工大学研究生国家奖学金管理办法》以及上级有关文件精神，为保障研究生国家奖学金评选工作顺利开展，鼓励我院研究生在校期间认真学习、开拓创新、全面发展，结合我院实际情况，特制定上海理工大学基础学部研究生国家奖学金评选细则。</w:t>
      </w:r>
    </w:p>
    <w:p w14:paraId="4EF5AA0E">
      <w:pPr>
        <w:pStyle w:val="2"/>
        <w:spacing w:before="0" w:line="360" w:lineRule="auto"/>
        <w:ind w:left="0" w:right="0"/>
        <w:rPr>
          <w:rFonts w:hint="eastAsia" w:ascii="仿宋" w:hAnsi="仿宋" w:eastAsia="仿宋"/>
        </w:rPr>
      </w:pPr>
      <w:r>
        <w:rPr>
          <w:rFonts w:ascii="仿宋" w:hAnsi="仿宋" w:eastAsia="仿宋"/>
        </w:rPr>
        <w:t>一、评审机构</w:t>
      </w:r>
    </w:p>
    <w:p w14:paraId="5BC37033">
      <w:pPr>
        <w:pStyle w:val="4"/>
        <w:spacing w:line="360" w:lineRule="auto"/>
        <w:ind w:left="0" w:firstLine="636" w:firstLineChars="200"/>
        <w:jc w:val="both"/>
        <w:rPr>
          <w:rFonts w:hint="eastAsia" w:ascii="仿宋" w:hAnsi="仿宋" w:eastAsia="仿宋"/>
        </w:rPr>
      </w:pPr>
      <w:r>
        <w:rPr>
          <w:rFonts w:ascii="仿宋" w:hAnsi="仿宋" w:eastAsia="仿宋"/>
          <w:spacing w:val="-1"/>
        </w:rPr>
        <w:t>成立基础学部研究生国家奖学金评审委员会，负责相关评</w:t>
      </w:r>
      <w:r>
        <w:rPr>
          <w:rFonts w:ascii="仿宋" w:hAnsi="仿宋" w:eastAsia="仿宋"/>
          <w:spacing w:val="-2"/>
        </w:rPr>
        <w:t>选工作；基础学部研究生国家奖学金评审委员会由学部主要领导任组长，学部领导、学科负责人、研究生导师、学生代表</w:t>
      </w:r>
      <w:r>
        <w:rPr>
          <w:rFonts w:ascii="仿宋" w:hAnsi="仿宋" w:eastAsia="仿宋"/>
          <w:spacing w:val="-4"/>
        </w:rPr>
        <w:t>等组成。</w:t>
      </w:r>
    </w:p>
    <w:p w14:paraId="73B42FDD">
      <w:pPr>
        <w:pStyle w:val="2"/>
        <w:spacing w:before="0" w:line="360" w:lineRule="auto"/>
        <w:ind w:left="0" w:right="0"/>
        <w:rPr>
          <w:rFonts w:hint="eastAsia" w:ascii="仿宋" w:hAnsi="仿宋" w:eastAsia="仿宋"/>
        </w:rPr>
      </w:pPr>
      <w:r>
        <w:rPr>
          <w:rFonts w:ascii="仿宋" w:hAnsi="仿宋" w:eastAsia="仿宋"/>
        </w:rPr>
        <w:t>二、参评对象</w:t>
      </w:r>
    </w:p>
    <w:p w14:paraId="40F3A29A">
      <w:pPr>
        <w:tabs>
          <w:tab w:val="left" w:pos="1670"/>
        </w:tabs>
        <w:spacing w:line="360" w:lineRule="auto"/>
        <w:ind w:firstLine="636" w:firstLineChars="200"/>
        <w:jc w:val="both"/>
        <w:rPr>
          <w:rFonts w:hint="eastAsia" w:ascii="仿宋" w:hAnsi="仿宋" w:eastAsia="仿宋"/>
          <w:sz w:val="32"/>
          <w:szCs w:val="32"/>
        </w:rPr>
      </w:pPr>
      <w:r>
        <w:rPr>
          <w:rFonts w:hint="eastAsia" w:ascii="仿宋" w:hAnsi="仿宋" w:eastAsia="仿宋"/>
          <w:spacing w:val="-1"/>
          <w:sz w:val="32"/>
          <w:szCs w:val="32"/>
        </w:rPr>
        <w:t>（1）</w:t>
      </w:r>
      <w:r>
        <w:rPr>
          <w:rFonts w:ascii="仿宋" w:hAnsi="仿宋" w:eastAsia="仿宋"/>
          <w:spacing w:val="-1"/>
          <w:sz w:val="32"/>
          <w:szCs w:val="32"/>
        </w:rPr>
        <w:t>已进行学籍注册且在规定学制内的全日制在读博士、</w:t>
      </w:r>
      <w:r>
        <w:rPr>
          <w:rFonts w:ascii="仿宋" w:hAnsi="仿宋" w:eastAsia="仿宋"/>
          <w:spacing w:val="-2"/>
          <w:sz w:val="32"/>
          <w:szCs w:val="32"/>
        </w:rPr>
        <w:t>硕士研究生均有资格申请。当年毕业、延迟毕业、在职攻读或未在校学习的研究生不参与评审。研究生出现以下任一情</w:t>
      </w:r>
      <w:r>
        <w:rPr>
          <w:rFonts w:ascii="仿宋" w:hAnsi="仿宋" w:eastAsia="仿宋"/>
          <w:sz w:val="32"/>
          <w:szCs w:val="32"/>
        </w:rPr>
        <w:t>况，不具备当年研究生国家奖学金参评资格：</w:t>
      </w:r>
      <w:r>
        <w:rPr>
          <w:rFonts w:ascii="仿宋" w:hAnsi="仿宋" w:eastAsia="仿宋"/>
          <w:spacing w:val="9"/>
          <w:sz w:val="32"/>
          <w:szCs w:val="32"/>
        </w:rPr>
        <w:t>1</w:t>
      </w:r>
      <w:r>
        <w:rPr>
          <w:rFonts w:ascii="仿宋" w:hAnsi="仿宋" w:eastAsia="仿宋"/>
          <w:spacing w:val="2"/>
          <w:sz w:val="32"/>
          <w:szCs w:val="32"/>
        </w:rPr>
        <w:t>、参评学年</w:t>
      </w:r>
      <w:r>
        <w:rPr>
          <w:rFonts w:ascii="仿宋" w:hAnsi="仿宋" w:eastAsia="仿宋"/>
          <w:sz w:val="32"/>
          <w:szCs w:val="32"/>
        </w:rPr>
        <w:t>违反国家法律、校纪校规受到纪律处分者；</w:t>
      </w:r>
      <w:r>
        <w:rPr>
          <w:rFonts w:ascii="仿宋" w:hAnsi="仿宋" w:eastAsia="仿宋"/>
          <w:spacing w:val="13"/>
          <w:sz w:val="32"/>
          <w:szCs w:val="32"/>
        </w:rPr>
        <w:t>2</w:t>
      </w:r>
      <w:r>
        <w:rPr>
          <w:rFonts w:ascii="仿宋" w:hAnsi="仿宋" w:eastAsia="仿宋"/>
          <w:spacing w:val="2"/>
          <w:sz w:val="32"/>
          <w:szCs w:val="32"/>
        </w:rPr>
        <w:t>、在校期间违反学术道德行为者；</w:t>
      </w:r>
      <w:r>
        <w:rPr>
          <w:rFonts w:ascii="仿宋" w:hAnsi="仿宋" w:eastAsia="仿宋"/>
          <w:spacing w:val="8"/>
          <w:sz w:val="32"/>
          <w:szCs w:val="32"/>
        </w:rPr>
        <w:t>3</w:t>
      </w:r>
      <w:r>
        <w:rPr>
          <w:rFonts w:ascii="仿宋" w:hAnsi="仿宋" w:eastAsia="仿宋"/>
          <w:sz w:val="32"/>
          <w:szCs w:val="32"/>
        </w:rPr>
        <w:t>、参评学年学籍状态处于休学、保留</w:t>
      </w:r>
      <w:r>
        <w:rPr>
          <w:rFonts w:ascii="仿宋" w:hAnsi="仿宋" w:eastAsia="仿宋"/>
          <w:spacing w:val="-4"/>
          <w:sz w:val="32"/>
          <w:szCs w:val="32"/>
        </w:rPr>
        <w:t>学籍者。</w:t>
      </w:r>
    </w:p>
    <w:p w14:paraId="5DB1C490">
      <w:pPr>
        <w:tabs>
          <w:tab w:val="left" w:pos="1692"/>
        </w:tabs>
        <w:spacing w:line="360" w:lineRule="auto"/>
        <w:ind w:firstLine="668" w:firstLineChars="200"/>
        <w:jc w:val="both"/>
        <w:rPr>
          <w:rFonts w:hint="eastAsia" w:ascii="仿宋" w:hAnsi="仿宋" w:eastAsia="仿宋"/>
          <w:sz w:val="32"/>
          <w:szCs w:val="32"/>
        </w:rPr>
      </w:pPr>
      <w:r>
        <w:rPr>
          <w:rFonts w:hint="eastAsia" w:ascii="仿宋" w:hAnsi="仿宋" w:eastAsia="仿宋"/>
          <w:spacing w:val="9"/>
          <w:w w:val="99"/>
          <w:sz w:val="32"/>
          <w:szCs w:val="32"/>
        </w:rPr>
        <w:t>（2）</w:t>
      </w:r>
      <w:r>
        <w:rPr>
          <w:rFonts w:ascii="仿宋" w:hAnsi="仿宋" w:eastAsia="仿宋"/>
          <w:spacing w:val="9"/>
          <w:w w:val="99"/>
          <w:sz w:val="32"/>
          <w:szCs w:val="32"/>
        </w:rPr>
        <w:t>以第一作者发表校定</w:t>
      </w:r>
      <w:r>
        <w:rPr>
          <w:rFonts w:ascii="仿宋" w:hAnsi="仿宋" w:eastAsia="仿宋"/>
          <w:spacing w:val="10"/>
          <w:w w:val="99"/>
          <w:sz w:val="32"/>
          <w:szCs w:val="32"/>
        </w:rPr>
        <w:t>A</w:t>
      </w:r>
      <w:r>
        <w:rPr>
          <w:rFonts w:ascii="仿宋" w:hAnsi="仿宋" w:eastAsia="仿宋"/>
          <w:spacing w:val="9"/>
          <w:w w:val="99"/>
          <w:sz w:val="32"/>
          <w:szCs w:val="32"/>
        </w:rPr>
        <w:t>类及以上学术刊物论文的研</w:t>
      </w:r>
      <w:r>
        <w:rPr>
          <w:rFonts w:ascii="仿宋" w:hAnsi="仿宋" w:eastAsia="仿宋"/>
          <w:spacing w:val="1"/>
          <w:w w:val="99"/>
          <w:sz w:val="32"/>
          <w:szCs w:val="32"/>
        </w:rPr>
        <w:t>究生，其论文发表情况需符合以下两种情况之一才可申报：</w:t>
      </w:r>
      <w:r>
        <w:rPr>
          <w:rFonts w:ascii="仿宋" w:hAnsi="仿宋" w:eastAsia="仿宋"/>
          <w:spacing w:val="10"/>
          <w:w w:val="99"/>
          <w:sz w:val="32"/>
          <w:szCs w:val="32"/>
        </w:rPr>
        <w:t>1</w:t>
      </w:r>
      <w:r>
        <w:rPr>
          <w:rFonts w:ascii="仿宋" w:hAnsi="仿宋" w:eastAsia="仿宋"/>
          <w:spacing w:val="9"/>
          <w:w w:val="99"/>
          <w:sz w:val="32"/>
          <w:szCs w:val="32"/>
        </w:rPr>
        <w:t>、论文已见刊；</w:t>
      </w:r>
      <w:r>
        <w:rPr>
          <w:rFonts w:ascii="仿宋" w:hAnsi="仿宋" w:eastAsia="仿宋"/>
          <w:spacing w:val="8"/>
          <w:w w:val="99"/>
          <w:sz w:val="32"/>
          <w:szCs w:val="32"/>
        </w:rPr>
        <w:t>2、论文已在线发表(已授予</w:t>
      </w:r>
      <w:r>
        <w:rPr>
          <w:rFonts w:ascii="仿宋" w:hAnsi="仿宋" w:eastAsia="仿宋"/>
          <w:spacing w:val="-2"/>
          <w:w w:val="99"/>
          <w:sz w:val="32"/>
          <w:szCs w:val="32"/>
        </w:rPr>
        <w:t>d</w:t>
      </w:r>
      <w:r>
        <w:rPr>
          <w:rFonts w:ascii="仿宋" w:hAnsi="仿宋" w:eastAsia="仿宋"/>
          <w:w w:val="99"/>
          <w:sz w:val="32"/>
          <w:szCs w:val="32"/>
        </w:rPr>
        <w:t>o</w:t>
      </w:r>
      <w:r>
        <w:rPr>
          <w:rFonts w:ascii="仿宋" w:hAnsi="仿宋" w:eastAsia="仿宋"/>
          <w:spacing w:val="11"/>
          <w:w w:val="99"/>
          <w:sz w:val="32"/>
          <w:szCs w:val="32"/>
        </w:rPr>
        <w:t>i</w:t>
      </w:r>
      <w:r>
        <w:rPr>
          <w:rFonts w:ascii="仿宋" w:hAnsi="仿宋" w:eastAsia="仿宋"/>
          <w:spacing w:val="9"/>
          <w:w w:val="99"/>
          <w:sz w:val="32"/>
          <w:szCs w:val="32"/>
        </w:rPr>
        <w:t>号)。若有</w:t>
      </w:r>
      <w:r>
        <w:rPr>
          <w:rFonts w:ascii="仿宋" w:hAnsi="仿宋" w:eastAsia="仿宋"/>
          <w:w w:val="99"/>
          <w:sz w:val="32"/>
          <w:szCs w:val="32"/>
        </w:rPr>
        <w:t>导师第一作者、研究生本人第二作者论文也可申报。</w:t>
      </w:r>
    </w:p>
    <w:p w14:paraId="07CEA142">
      <w:pPr>
        <w:pStyle w:val="4"/>
        <w:spacing w:line="360" w:lineRule="auto"/>
        <w:ind w:left="0" w:firstLine="680" w:firstLineChars="200"/>
        <w:jc w:val="both"/>
        <w:rPr>
          <w:rFonts w:hint="eastAsia" w:ascii="仿宋" w:hAnsi="仿宋" w:eastAsia="仿宋"/>
        </w:rPr>
      </w:pPr>
      <w:r>
        <w:rPr>
          <w:rFonts w:ascii="仿宋" w:hAnsi="仿宋" w:eastAsia="仿宋"/>
          <w:spacing w:val="10"/>
        </w:rPr>
        <w:t>注：有充分证据证明已被录用</w:t>
      </w:r>
      <w:r>
        <w:rPr>
          <w:rFonts w:ascii="仿宋" w:hAnsi="仿宋" w:eastAsia="仿宋"/>
        </w:rPr>
        <w:t>（</w:t>
      </w:r>
      <w:r>
        <w:rPr>
          <w:rFonts w:ascii="仿宋" w:hAnsi="仿宋" w:eastAsia="仿宋"/>
          <w:spacing w:val="9"/>
        </w:rPr>
        <w:t>录用函、相关邮件等</w:t>
      </w:r>
      <w:r>
        <w:rPr>
          <w:rFonts w:ascii="仿宋" w:hAnsi="仿宋" w:eastAsia="仿宋"/>
        </w:rPr>
        <w:t>）</w:t>
      </w:r>
      <w:r>
        <w:rPr>
          <w:rFonts w:ascii="仿宋" w:hAnsi="仿宋" w:eastAsia="仿宋"/>
          <w:spacing w:val="-2"/>
        </w:rPr>
        <w:t>的论文，可作为支撑材料，但不计算其科研成果分。获得过上一年度研究生国家奖学金的研究生在申请时不可重复使用当年参评的研究成果。</w:t>
      </w:r>
    </w:p>
    <w:p w14:paraId="1D0D0565">
      <w:pPr>
        <w:pStyle w:val="2"/>
        <w:spacing w:before="0" w:line="360" w:lineRule="auto"/>
        <w:ind w:left="0" w:right="0"/>
        <w:rPr>
          <w:rFonts w:hint="eastAsia" w:ascii="仿宋" w:hAnsi="仿宋" w:eastAsia="仿宋"/>
        </w:rPr>
      </w:pPr>
      <w:r>
        <w:rPr>
          <w:rFonts w:ascii="仿宋" w:hAnsi="仿宋" w:eastAsia="仿宋"/>
        </w:rPr>
        <w:t>三、基本原则</w:t>
      </w:r>
    </w:p>
    <w:p w14:paraId="3E761BEE">
      <w:pPr>
        <w:tabs>
          <w:tab w:val="left" w:pos="1670"/>
        </w:tabs>
        <w:spacing w:line="360" w:lineRule="auto"/>
        <w:ind w:firstLine="636" w:firstLineChars="200"/>
        <w:jc w:val="both"/>
        <w:rPr>
          <w:rFonts w:hint="eastAsia" w:ascii="仿宋" w:hAnsi="仿宋" w:eastAsia="仿宋"/>
          <w:sz w:val="32"/>
          <w:szCs w:val="32"/>
        </w:rPr>
      </w:pPr>
      <w:r>
        <w:rPr>
          <w:rFonts w:hint="eastAsia" w:ascii="仿宋" w:hAnsi="仿宋" w:eastAsia="仿宋"/>
          <w:spacing w:val="-1"/>
          <w:sz w:val="32"/>
          <w:szCs w:val="32"/>
        </w:rPr>
        <w:t>（1）</w:t>
      </w:r>
      <w:r>
        <w:rPr>
          <w:rFonts w:ascii="仿宋" w:hAnsi="仿宋" w:eastAsia="仿宋"/>
          <w:spacing w:val="-1"/>
          <w:sz w:val="32"/>
          <w:szCs w:val="32"/>
        </w:rPr>
        <w:t>研究生国家奖学金的评审工作，应坚持公开、公平、</w:t>
      </w:r>
      <w:r>
        <w:rPr>
          <w:rFonts w:ascii="仿宋" w:hAnsi="仿宋" w:eastAsia="仿宋"/>
          <w:spacing w:val="-5"/>
          <w:sz w:val="32"/>
          <w:szCs w:val="32"/>
        </w:rPr>
        <w:t>公正、择优的原则，严格执行有关规定，杜绝弄虚作假。</w:t>
      </w:r>
    </w:p>
    <w:p w14:paraId="541A491C">
      <w:pPr>
        <w:tabs>
          <w:tab w:val="left" w:pos="1669"/>
        </w:tabs>
        <w:spacing w:line="360" w:lineRule="auto"/>
        <w:ind w:firstLine="632" w:firstLineChars="200"/>
        <w:jc w:val="both"/>
        <w:rPr>
          <w:rFonts w:hint="eastAsia" w:ascii="仿宋" w:hAnsi="仿宋" w:eastAsia="仿宋"/>
          <w:sz w:val="32"/>
          <w:szCs w:val="32"/>
        </w:rPr>
      </w:pPr>
      <w:r>
        <w:rPr>
          <w:rFonts w:hint="eastAsia" w:ascii="仿宋" w:hAnsi="仿宋" w:eastAsia="仿宋"/>
          <w:spacing w:val="-2"/>
          <w:sz w:val="32"/>
          <w:szCs w:val="32"/>
        </w:rPr>
        <w:t>（2）</w:t>
      </w:r>
      <w:r>
        <w:rPr>
          <w:rFonts w:ascii="仿宋" w:hAnsi="仿宋" w:eastAsia="仿宋"/>
          <w:spacing w:val="-2"/>
          <w:sz w:val="32"/>
          <w:szCs w:val="32"/>
        </w:rPr>
        <w:t>有利于激发硕士研究生在课程学习、科学研究、科技创新、思想政治表现等方面的积极性，引导其遵守学术诚信和科学道德，在学术及思想上健康发展。</w:t>
      </w:r>
    </w:p>
    <w:p w14:paraId="0F73943C">
      <w:pPr>
        <w:tabs>
          <w:tab w:val="left" w:pos="1669"/>
        </w:tabs>
        <w:spacing w:line="360" w:lineRule="auto"/>
        <w:ind w:firstLine="632" w:firstLineChars="200"/>
        <w:jc w:val="both"/>
        <w:rPr>
          <w:rFonts w:hint="eastAsia" w:ascii="仿宋" w:hAnsi="仿宋" w:eastAsia="仿宋"/>
          <w:sz w:val="32"/>
          <w:szCs w:val="32"/>
        </w:rPr>
      </w:pPr>
      <w:r>
        <w:rPr>
          <w:rFonts w:hint="eastAsia" w:ascii="仿宋" w:hAnsi="仿宋" w:eastAsia="仿宋"/>
          <w:spacing w:val="-2"/>
          <w:sz w:val="32"/>
          <w:szCs w:val="32"/>
        </w:rPr>
        <w:t>（3）</w:t>
      </w:r>
      <w:r>
        <w:rPr>
          <w:rFonts w:ascii="仿宋" w:hAnsi="仿宋" w:eastAsia="仿宋"/>
          <w:spacing w:val="-2"/>
          <w:sz w:val="32"/>
          <w:szCs w:val="32"/>
        </w:rPr>
        <w:t>基础学部研究生国家奖学金评审委员会在确定入选学生名单和候补学生名单时，原则上将考虑不同学科的特点和学科平衡，希望国家奖学金的评审工作能对各个学科的学生和学科发展起到持续的激励作用。</w:t>
      </w:r>
    </w:p>
    <w:p w14:paraId="600A8C33">
      <w:pPr>
        <w:tabs>
          <w:tab w:val="left" w:pos="1669"/>
        </w:tabs>
        <w:spacing w:line="360" w:lineRule="auto"/>
        <w:ind w:firstLine="632" w:firstLineChars="200"/>
        <w:jc w:val="both"/>
        <w:rPr>
          <w:rFonts w:hint="eastAsia" w:ascii="仿宋" w:hAnsi="仿宋" w:eastAsia="仿宋"/>
          <w:sz w:val="32"/>
          <w:szCs w:val="32"/>
        </w:rPr>
      </w:pPr>
      <w:r>
        <w:rPr>
          <w:rFonts w:hint="eastAsia" w:ascii="仿宋" w:hAnsi="仿宋" w:eastAsia="仿宋"/>
          <w:spacing w:val="-2"/>
          <w:sz w:val="32"/>
          <w:szCs w:val="32"/>
        </w:rPr>
        <w:t>（4）</w:t>
      </w:r>
      <w:r>
        <w:rPr>
          <w:rFonts w:ascii="仿宋" w:hAnsi="仿宋" w:eastAsia="仿宋"/>
          <w:spacing w:val="-2"/>
          <w:sz w:val="32"/>
          <w:szCs w:val="32"/>
        </w:rPr>
        <w:t>根据学</w:t>
      </w:r>
      <w:r>
        <w:rPr>
          <w:rFonts w:hint="eastAsia" w:ascii="仿宋" w:hAnsi="仿宋" w:eastAsia="仿宋"/>
          <w:spacing w:val="-2"/>
          <w:sz w:val="32"/>
          <w:szCs w:val="32"/>
        </w:rPr>
        <w:t>部</w:t>
      </w:r>
      <w:r>
        <w:rPr>
          <w:rFonts w:ascii="仿宋" w:hAnsi="仿宋" w:eastAsia="仿宋"/>
          <w:spacing w:val="-2"/>
          <w:sz w:val="32"/>
          <w:szCs w:val="32"/>
        </w:rPr>
        <w:t>实际情况，基础学部研究生国家奖学金评审委员会对已获得过国家奖学金的硕士研究生，通常情况下在硕士阶段将不再考虑其申请。但对科研上有重大贡献的学生（如除第一次申请时用过的成果外，又在相关学科公认的顶级杂志上以第一作者发表论文2篇及以上者）可再次申请。</w:t>
      </w:r>
    </w:p>
    <w:p w14:paraId="060EA5C3">
      <w:pPr>
        <w:pStyle w:val="2"/>
        <w:spacing w:before="0" w:line="360" w:lineRule="auto"/>
        <w:ind w:left="0" w:right="0"/>
        <w:rPr>
          <w:rFonts w:hint="eastAsia" w:ascii="仿宋" w:hAnsi="仿宋" w:eastAsia="仿宋"/>
        </w:rPr>
      </w:pPr>
      <w:r>
        <w:rPr>
          <w:rFonts w:ascii="仿宋" w:hAnsi="仿宋" w:eastAsia="仿宋"/>
        </w:rPr>
        <w:t>四、评定细则</w:t>
      </w:r>
    </w:p>
    <w:p w14:paraId="7AF9E82D">
      <w:pPr>
        <w:pStyle w:val="4"/>
        <w:spacing w:line="360" w:lineRule="auto"/>
        <w:ind w:left="0" w:firstLine="620" w:firstLineChars="200"/>
        <w:jc w:val="both"/>
        <w:rPr>
          <w:rFonts w:hint="eastAsia" w:ascii="仿宋" w:hAnsi="仿宋" w:eastAsia="仿宋"/>
        </w:rPr>
      </w:pPr>
      <w:r>
        <w:rPr>
          <w:rFonts w:ascii="仿宋" w:hAnsi="仿宋" w:eastAsia="仿宋"/>
          <w:spacing w:val="-5"/>
        </w:rPr>
        <w:t>基础学部研究生国家奖学金评定主要参考以下四个方面：</w:t>
      </w:r>
    </w:p>
    <w:p w14:paraId="7BE7592E">
      <w:pPr>
        <w:pStyle w:val="4"/>
        <w:spacing w:line="360" w:lineRule="auto"/>
        <w:ind w:left="0"/>
        <w:jc w:val="both"/>
        <w:rPr>
          <w:rFonts w:hint="eastAsia" w:ascii="仿宋" w:hAnsi="仿宋" w:eastAsia="仿宋"/>
          <w:b/>
          <w:bCs/>
          <w:spacing w:val="4"/>
        </w:rPr>
      </w:pPr>
      <w:r>
        <w:rPr>
          <w:rFonts w:ascii="仿宋" w:hAnsi="仿宋" w:eastAsia="仿宋"/>
          <w:b/>
          <w:bCs/>
          <w:spacing w:val="4"/>
        </w:rPr>
        <w:t>（一）课程学习成绩（此项总分20分）</w:t>
      </w:r>
    </w:p>
    <w:p w14:paraId="06B918B2">
      <w:pPr>
        <w:pStyle w:val="4"/>
        <w:spacing w:line="360" w:lineRule="auto"/>
        <w:ind w:left="0" w:firstLine="656" w:firstLineChars="200"/>
        <w:jc w:val="both"/>
        <w:rPr>
          <w:rFonts w:hint="eastAsia" w:ascii="仿宋" w:hAnsi="仿宋" w:eastAsia="仿宋"/>
        </w:rPr>
      </w:pPr>
      <w:r>
        <w:rPr>
          <w:rFonts w:ascii="仿宋" w:hAnsi="仿宋" w:eastAsia="仿宋"/>
          <w:spacing w:val="4"/>
        </w:rPr>
        <w:t>对新入学的研究生，重点考察研究生招生考试相关成绩</w:t>
      </w:r>
      <w:r>
        <w:rPr>
          <w:rFonts w:ascii="仿宋" w:hAnsi="仿宋" w:eastAsia="仿宋"/>
          <w:spacing w:val="-2"/>
        </w:rPr>
        <w:t>及复试考核评价情况。</w:t>
      </w:r>
    </w:p>
    <w:p w14:paraId="05F52375">
      <w:pPr>
        <w:pStyle w:val="4"/>
        <w:spacing w:line="360" w:lineRule="auto"/>
        <w:ind w:left="0" w:firstLine="652" w:firstLineChars="200"/>
        <w:jc w:val="both"/>
        <w:rPr>
          <w:rFonts w:hint="eastAsia" w:ascii="仿宋" w:hAnsi="仿宋" w:eastAsia="仿宋"/>
        </w:rPr>
      </w:pPr>
      <w:r>
        <w:rPr>
          <w:rFonts w:ascii="仿宋" w:hAnsi="仿宋" w:eastAsia="仿宋"/>
          <w:spacing w:val="3"/>
        </w:rPr>
        <w:t>对其它年级研究生，课程学习成绩按照加权平均成绩计</w:t>
      </w:r>
      <w:r>
        <w:rPr>
          <w:rFonts w:ascii="仿宋" w:hAnsi="仿宋" w:eastAsia="仿宋"/>
          <w:spacing w:val="-2"/>
        </w:rPr>
        <w:t>算，计算公式如下：</w:t>
      </w:r>
    </w:p>
    <w:p w14:paraId="6ACA9255">
      <w:pPr>
        <w:pStyle w:val="4"/>
        <w:spacing w:line="360" w:lineRule="auto"/>
        <w:ind w:left="0"/>
        <w:jc w:val="both"/>
        <w:rPr>
          <w:rStyle w:val="10"/>
          <w:rFonts w:hint="eastAsia" w:ascii="仿宋" w:hAnsi="仿宋" w:eastAsia="仿宋"/>
          <w:b w:val="0"/>
          <w:bCs w:val="0"/>
          <w:color w:val="0F1115"/>
          <w:shd w:val="clear" w:color="auto" w:fill="FFFFFF"/>
        </w:rPr>
      </w:pPr>
      <m:oMathPara>
        <m:oMath>
          <m:r>
            <m:rPr>
              <m:nor/>
              <m:sty m:val="p"/>
            </m:rPr>
            <w:rPr>
              <w:rStyle w:val="10"/>
              <w:rFonts w:hint="eastAsia" w:ascii="仿宋" w:hAnsi="仿宋" w:eastAsia="仿宋" w:cs="Segoe UI"/>
              <w:b w:val="0"/>
              <w:bCs w:val="0"/>
              <w:i w:val="0"/>
              <w:color w:val="0F1115"/>
              <w:shd w:val="clear" w:color="auto" w:fill="FFFFFF"/>
            </w:rPr>
            <m:t>累计平均成绩</m:t>
          </m:r>
          <m:r>
            <m:rPr/>
            <w:rPr>
              <w:rStyle w:val="10"/>
              <w:rFonts w:ascii="Cambria Math" w:hAnsi="Cambria Math" w:eastAsia="仿宋" w:cs="Segoe UI"/>
              <w:color w:val="0F1115"/>
              <w:shd w:val="clear" w:color="auto" w:fill="FFFFFF"/>
            </w:rPr>
            <m:t>=</m:t>
          </m:r>
          <m:f>
            <m:fPr>
              <m:ctrlPr>
                <w:rPr>
                  <w:rStyle w:val="10"/>
                  <w:rFonts w:ascii="Cambria Math" w:hAnsi="Cambria Math" w:eastAsia="仿宋" w:cs="Segoe UI"/>
                  <w:b w:val="0"/>
                  <w:bCs w:val="0"/>
                  <w:i/>
                  <w:color w:val="0F1115"/>
                  <w:shd w:val="clear" w:color="auto" w:fill="FFFFFF"/>
                </w:rPr>
              </m:ctrlPr>
            </m:fPr>
            <m:num>
              <m:r>
                <m:rPr>
                  <m:nor/>
                  <m:sty m:val="p"/>
                </m:rPr>
                <w:rPr>
                  <w:rStyle w:val="10"/>
                  <w:rFonts w:ascii="仿宋" w:hAnsi="仿宋" w:eastAsia="仿宋" w:cs="Segoe UI"/>
                  <w:b w:val="0"/>
                  <w:bCs w:val="0"/>
                  <w:i w:val="0"/>
                  <w:color w:val="0F1115"/>
                  <w:shd w:val="clear" w:color="auto" w:fill="FFFFFF"/>
                </w:rPr>
                <m:t>∑(实际修读课程成绩×课程学分)</m:t>
              </m:r>
              <m:ctrlPr>
                <w:rPr>
                  <w:rStyle w:val="10"/>
                  <w:rFonts w:ascii="Cambria Math" w:hAnsi="Cambria Math" w:eastAsia="仿宋" w:cs="Segoe UI"/>
                  <w:b w:val="0"/>
                  <w:bCs w:val="0"/>
                  <w:i/>
                  <w:color w:val="0F1115"/>
                  <w:shd w:val="clear" w:color="auto" w:fill="FFFFFF"/>
                </w:rPr>
              </m:ctrlPr>
            </m:num>
            <m:den>
              <m:r>
                <m:rPr>
                  <m:nor/>
                  <m:sty m:val="p"/>
                </m:rPr>
                <w:rPr>
                  <w:rStyle w:val="10"/>
                  <w:rFonts w:ascii="仿宋" w:hAnsi="仿宋" w:eastAsia="仿宋" w:cs="Segoe UI"/>
                  <w:b w:val="0"/>
                  <w:bCs w:val="0"/>
                  <w:i w:val="0"/>
                  <w:color w:val="0F1115"/>
                  <w:shd w:val="clear" w:color="auto" w:fill="FFFFFF"/>
                </w:rPr>
                <m:t>∑应修读课程学分</m:t>
              </m:r>
              <m:ctrlPr>
                <w:rPr>
                  <w:rStyle w:val="10"/>
                  <w:rFonts w:ascii="Cambria Math" w:hAnsi="Cambria Math" w:eastAsia="仿宋" w:cs="Segoe UI"/>
                  <w:b w:val="0"/>
                  <w:bCs w:val="0"/>
                  <w:i/>
                  <w:color w:val="0F1115"/>
                  <w:shd w:val="clear" w:color="auto" w:fill="FFFFFF"/>
                </w:rPr>
              </m:ctrlPr>
            </m:den>
          </m:f>
        </m:oMath>
      </m:oMathPara>
    </w:p>
    <w:p w14:paraId="768222EB">
      <w:pPr>
        <w:pStyle w:val="4"/>
        <w:spacing w:line="360" w:lineRule="auto"/>
        <w:ind w:left="0"/>
        <w:jc w:val="both"/>
        <w:rPr>
          <w:rFonts w:hint="eastAsia" w:ascii="仿宋" w:hAnsi="仿宋" w:eastAsia="仿宋"/>
        </w:rPr>
      </w:pPr>
      <w:r>
        <w:rPr>
          <w:rFonts w:ascii="仿宋" w:hAnsi="仿宋" w:eastAsia="仿宋"/>
          <w:spacing w:val="7"/>
        </w:rPr>
        <w:t>★学术报告与学术讲座、研究生教学实习</w:t>
      </w:r>
      <w:r>
        <w:rPr>
          <w:rFonts w:ascii="仿宋" w:hAnsi="仿宋" w:eastAsia="仿宋"/>
          <w:spacing w:val="10"/>
        </w:rPr>
        <w:t>（</w:t>
      </w:r>
      <w:r>
        <w:rPr>
          <w:rFonts w:ascii="仿宋" w:hAnsi="仿宋" w:eastAsia="仿宋"/>
          <w:spacing w:val="7"/>
        </w:rPr>
        <w:t>生产实践</w:t>
      </w:r>
      <w:r>
        <w:rPr>
          <w:rFonts w:ascii="仿宋" w:hAnsi="仿宋" w:eastAsia="仿宋"/>
        </w:rPr>
        <w:t>）</w:t>
      </w:r>
      <w:r>
        <w:rPr>
          <w:rFonts w:ascii="仿宋" w:hAnsi="仿宋" w:eastAsia="仿宋"/>
          <w:spacing w:val="-2"/>
        </w:rPr>
        <w:t>不在计算范围内。</w:t>
      </w:r>
    </w:p>
    <w:p w14:paraId="798288CE">
      <w:pPr>
        <w:pStyle w:val="4"/>
        <w:spacing w:line="360" w:lineRule="auto"/>
        <w:ind w:left="0"/>
        <w:jc w:val="both"/>
        <w:rPr>
          <w:rFonts w:hint="eastAsia" w:ascii="仿宋" w:hAnsi="仿宋" w:eastAsia="仿宋"/>
        </w:rPr>
      </w:pPr>
      <w:r>
        <w:rPr>
          <w:rFonts w:ascii="仿宋" w:hAnsi="仿宋" w:eastAsia="仿宋"/>
          <w:spacing w:val="4"/>
        </w:rPr>
        <w:t>★由研究生院认定免修、直接给学分的英语等课程不在</w:t>
      </w:r>
      <w:r>
        <w:rPr>
          <w:rFonts w:ascii="仿宋" w:hAnsi="仿宋" w:eastAsia="仿宋"/>
          <w:spacing w:val="-2"/>
        </w:rPr>
        <w:t>计算范围内。</w:t>
      </w:r>
    </w:p>
    <w:p w14:paraId="1FC7355C">
      <w:pPr>
        <w:pStyle w:val="4"/>
        <w:spacing w:line="360" w:lineRule="auto"/>
        <w:ind w:left="0"/>
        <w:jc w:val="both"/>
        <w:rPr>
          <w:rFonts w:hint="eastAsia" w:ascii="仿宋" w:hAnsi="仿宋" w:eastAsia="仿宋"/>
        </w:rPr>
      </w:pPr>
      <w:r>
        <w:rPr>
          <w:rFonts w:ascii="仿宋" w:hAnsi="仿宋" w:eastAsia="仿宋"/>
          <w:spacing w:val="4"/>
        </w:rPr>
        <w:t>★不计入计算范围的课程，应修读课程学分处减去相应</w:t>
      </w:r>
      <w:r>
        <w:rPr>
          <w:rFonts w:ascii="仿宋" w:hAnsi="仿宋" w:eastAsia="仿宋"/>
          <w:spacing w:val="-4"/>
        </w:rPr>
        <w:t>的学分。</w:t>
      </w:r>
    </w:p>
    <w:p w14:paraId="3856BAE7">
      <w:pPr>
        <w:pStyle w:val="4"/>
        <w:spacing w:line="360" w:lineRule="auto"/>
        <w:ind w:left="0"/>
        <w:jc w:val="both"/>
        <w:rPr>
          <w:rFonts w:hint="eastAsia" w:ascii="仿宋" w:hAnsi="仿宋" w:eastAsia="仿宋"/>
        </w:rPr>
      </w:pPr>
      <w:r>
        <w:rPr>
          <w:rFonts w:ascii="仿宋" w:hAnsi="仿宋" w:eastAsia="仿宋"/>
          <w:spacing w:val="-2"/>
        </w:rPr>
        <w:t>★若实际修读课程的总学分超过了应修读课程的总学分，则以实际修读课程的总学分代替应修读课程的总学分。</w:t>
      </w:r>
    </w:p>
    <w:p w14:paraId="724CF766">
      <w:pPr>
        <w:pStyle w:val="4"/>
        <w:spacing w:line="360" w:lineRule="auto"/>
        <w:ind w:left="0"/>
        <w:jc w:val="both"/>
        <w:rPr>
          <w:rFonts w:hint="eastAsia" w:ascii="仿宋" w:hAnsi="仿宋" w:eastAsia="仿宋"/>
        </w:rPr>
      </w:pPr>
      <w:r>
        <w:rPr>
          <w:rFonts w:ascii="仿宋" w:hAnsi="仿宋" w:eastAsia="仿宋"/>
          <w:spacing w:val="-4"/>
        </w:rPr>
        <w:t>★此项得分以百分制课程学习成绩乘以20</w:t>
      </w:r>
      <w:r>
        <w:rPr>
          <w:rFonts w:ascii="仿宋" w:hAnsi="仿宋" w:eastAsia="仿宋"/>
          <w:spacing w:val="-6"/>
        </w:rPr>
        <w:t>%计算。</w:t>
      </w:r>
    </w:p>
    <w:p w14:paraId="69CA84AC">
      <w:pPr>
        <w:pStyle w:val="4"/>
        <w:spacing w:line="360" w:lineRule="auto"/>
        <w:ind w:left="0"/>
        <w:jc w:val="both"/>
        <w:rPr>
          <w:rFonts w:hint="eastAsia" w:ascii="仿宋" w:hAnsi="仿宋" w:eastAsia="仿宋"/>
          <w:b/>
          <w:bCs/>
          <w:spacing w:val="-5"/>
        </w:rPr>
      </w:pPr>
      <w:r>
        <w:rPr>
          <w:rFonts w:ascii="仿宋" w:hAnsi="仿宋" w:eastAsia="仿宋"/>
          <w:b/>
          <w:bCs/>
          <w:spacing w:val="-5"/>
        </w:rPr>
        <w:t>（二）各类研究成果（论文、专利）、科技竞赛获奖等（此项总分60分）</w:t>
      </w:r>
    </w:p>
    <w:p w14:paraId="3C2E1A95">
      <w:pPr>
        <w:pStyle w:val="4"/>
        <w:spacing w:line="360" w:lineRule="auto"/>
        <w:ind w:left="0" w:firstLine="620" w:firstLineChars="200"/>
        <w:jc w:val="both"/>
        <w:rPr>
          <w:rFonts w:hint="eastAsia" w:ascii="仿宋" w:hAnsi="仿宋" w:eastAsia="仿宋"/>
          <w:spacing w:val="-5"/>
        </w:rPr>
      </w:pPr>
      <w:r>
        <w:rPr>
          <w:rFonts w:ascii="仿宋" w:hAnsi="仿宋" w:eastAsia="仿宋"/>
          <w:spacing w:val="-5"/>
        </w:rPr>
        <w:t>此项计分方式采用归一法，规则如下：</w:t>
      </w:r>
    </w:p>
    <w:p w14:paraId="4FBEA091">
      <w:pPr>
        <w:pStyle w:val="4"/>
        <w:spacing w:line="360" w:lineRule="auto"/>
        <w:ind w:left="0" w:firstLine="640" w:firstLineChars="200"/>
        <w:jc w:val="both"/>
        <w:rPr>
          <w:rFonts w:hint="eastAsia" w:ascii="仿宋" w:hAnsi="仿宋" w:eastAsia="仿宋"/>
        </w:rPr>
      </w:pPr>
      <w:r>
        <w:rPr>
          <w:rStyle w:val="10"/>
          <w:rFonts w:ascii="仿宋" w:hAnsi="仿宋" w:eastAsia="仿宋" w:cs="Segoe UI"/>
          <w:b w:val="0"/>
          <w:bCs w:val="0"/>
          <w:color w:val="0F1115"/>
          <w:shd w:val="clear" w:color="auto" w:fill="FFFFFF"/>
        </w:rPr>
        <w:t>最终得分=</w:t>
      </w:r>
      <m:oMath>
        <m:f>
          <m:fPr>
            <m:ctrlPr>
              <w:rPr>
                <w:rFonts w:ascii="Cambria Math" w:hAnsi="Cambria Math" w:eastAsia="仿宋"/>
              </w:rPr>
            </m:ctrlPr>
          </m:fPr>
          <m:num>
            <m:r>
              <m:rPr/>
              <w:rPr>
                <w:rFonts w:ascii="Cambria Math" w:hAnsi="Cambria Math" w:eastAsia="仿宋"/>
              </w:rPr>
              <m:t>A</m:t>
            </m:r>
            <m:ctrlPr>
              <w:rPr>
                <w:rFonts w:ascii="Cambria Math" w:hAnsi="Cambria Math" w:eastAsia="仿宋"/>
              </w:rPr>
            </m:ctrlPr>
          </m:num>
          <m:den>
            <m:sSub>
              <m:sSubPr>
                <m:ctrlPr>
                  <w:rPr>
                    <w:rFonts w:ascii="Cambria Math" w:hAnsi="Cambria Math" w:eastAsia="仿宋"/>
                  </w:rPr>
                </m:ctrlPr>
              </m:sSubPr>
              <m:e>
                <m:r>
                  <m:rPr/>
                  <w:rPr>
                    <w:rFonts w:ascii="Cambria Math" w:hAnsi="Cambria Math" w:eastAsia="仿宋"/>
                  </w:rPr>
                  <m:t>A</m:t>
                </m:r>
                <m:ctrlPr>
                  <w:rPr>
                    <w:rFonts w:ascii="Cambria Math" w:hAnsi="Cambria Math" w:eastAsia="仿宋"/>
                  </w:rPr>
                </m:ctrlPr>
              </m:e>
              <m:sub>
                <m:r>
                  <m:rPr/>
                  <w:rPr>
                    <w:rFonts w:ascii="Cambria Math" w:hAnsi="Cambria Math" w:eastAsia="仿宋"/>
                  </w:rPr>
                  <m:t>max</m:t>
                </m:r>
                <m:ctrlPr>
                  <w:rPr>
                    <w:rFonts w:ascii="Cambria Math" w:hAnsi="Cambria Math" w:eastAsia="仿宋"/>
                  </w:rPr>
                </m:ctrlPr>
              </m:sub>
            </m:sSub>
            <m:ctrlPr>
              <w:rPr>
                <w:rFonts w:ascii="Cambria Math" w:hAnsi="Cambria Math" w:eastAsia="仿宋"/>
              </w:rPr>
            </m:ctrlPr>
          </m:den>
        </m:f>
        <m:r>
          <m:rPr/>
          <w:rPr>
            <w:rFonts w:ascii="Cambria Math" w:hAnsi="Cambria Math" w:eastAsia="仿宋"/>
          </w:rPr>
          <m:t>∗60</m:t>
        </m:r>
      </m:oMath>
    </w:p>
    <w:p w14:paraId="5405CDC6">
      <w:pPr>
        <w:pStyle w:val="4"/>
        <w:spacing w:line="360" w:lineRule="auto"/>
        <w:ind w:left="0" w:firstLine="640" w:firstLineChars="200"/>
        <w:jc w:val="both"/>
        <w:rPr>
          <w:rFonts w:hint="eastAsia" w:ascii="仿宋" w:hAnsi="仿宋" w:eastAsia="仿宋"/>
        </w:rPr>
      </w:pPr>
      <w:r>
        <w:rPr>
          <w:rFonts w:ascii="仿宋" w:hAnsi="仿宋" w:eastAsia="仿宋"/>
        </w:rPr>
        <w:t>其中A为个人该项累积总分，Amax</w:t>
      </w:r>
      <w:r>
        <w:rPr>
          <w:rFonts w:ascii="仿宋" w:hAnsi="仿宋" w:eastAsia="仿宋"/>
          <w:spacing w:val="-2"/>
        </w:rPr>
        <w:t>表示专业内该项累积</w:t>
      </w:r>
      <w:r>
        <w:rPr>
          <w:rFonts w:ascii="仿宋" w:hAnsi="仿宋" w:eastAsia="仿宋"/>
          <w:spacing w:val="-5"/>
        </w:rPr>
        <w:t>总分最高者。</w:t>
      </w:r>
    </w:p>
    <w:p w14:paraId="0086179C">
      <w:pPr>
        <w:pStyle w:val="4"/>
        <w:spacing w:line="360" w:lineRule="auto"/>
        <w:ind w:left="0"/>
        <w:jc w:val="both"/>
        <w:rPr>
          <w:rFonts w:hint="eastAsia" w:ascii="仿宋" w:hAnsi="仿宋" w:eastAsia="仿宋"/>
        </w:rPr>
      </w:pPr>
      <w:r>
        <w:rPr>
          <w:rFonts w:ascii="仿宋" w:hAnsi="仿宋" w:eastAsia="仿宋"/>
          <w:spacing w:val="-4"/>
        </w:rPr>
        <w:t>1、研究成果（论文）</w:t>
      </w:r>
      <w:r>
        <w:rPr>
          <w:rFonts w:ascii="仿宋" w:hAnsi="仿宋" w:eastAsia="仿宋"/>
          <w:spacing w:val="-5"/>
        </w:rPr>
        <w:t>分值规定如下：</w:t>
      </w:r>
    </w:p>
    <w:tbl>
      <w:tblPr>
        <w:tblStyle w:val="11"/>
        <w:tblW w:w="0" w:type="auto"/>
        <w:tblInd w:w="5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16"/>
        <w:gridCol w:w="2883"/>
      </w:tblGrid>
      <w:tr w14:paraId="5603D64C">
        <w:trPr>
          <w:trHeight w:val="446" w:hRule="atLeast"/>
        </w:trPr>
        <w:tc>
          <w:tcPr>
            <w:tcW w:w="5216" w:type="dxa"/>
          </w:tcPr>
          <w:p w14:paraId="334464CF">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级别</w:t>
            </w:r>
          </w:p>
        </w:tc>
        <w:tc>
          <w:tcPr>
            <w:tcW w:w="2883" w:type="dxa"/>
          </w:tcPr>
          <w:p w14:paraId="61DC2853">
            <w:pPr>
              <w:pStyle w:val="13"/>
              <w:spacing w:before="0" w:line="360" w:lineRule="auto"/>
              <w:ind w:left="0"/>
              <w:jc w:val="center"/>
              <w:rPr>
                <w:rFonts w:hint="eastAsia" w:ascii="仿宋" w:hAnsi="仿宋" w:eastAsia="仿宋"/>
                <w:sz w:val="32"/>
                <w:szCs w:val="32"/>
              </w:rPr>
            </w:pPr>
            <w:r>
              <w:rPr>
                <w:rFonts w:ascii="仿宋" w:hAnsi="仿宋" w:eastAsia="仿宋"/>
                <w:spacing w:val="-3"/>
                <w:sz w:val="32"/>
                <w:szCs w:val="32"/>
              </w:rPr>
              <w:t>分值/篇</w:t>
            </w:r>
          </w:p>
        </w:tc>
      </w:tr>
      <w:tr w14:paraId="316FFE3E">
        <w:trPr>
          <w:trHeight w:val="443" w:hRule="atLeast"/>
        </w:trPr>
        <w:tc>
          <w:tcPr>
            <w:tcW w:w="5216" w:type="dxa"/>
          </w:tcPr>
          <w:p w14:paraId="6C41178B">
            <w:pPr>
              <w:pStyle w:val="13"/>
              <w:spacing w:before="0" w:line="360" w:lineRule="auto"/>
              <w:ind w:left="0"/>
              <w:jc w:val="center"/>
              <w:rPr>
                <w:rFonts w:hint="eastAsia" w:ascii="仿宋" w:hAnsi="仿宋" w:eastAsia="仿宋"/>
                <w:sz w:val="32"/>
                <w:szCs w:val="32"/>
              </w:rPr>
            </w:pPr>
            <w:r>
              <w:rPr>
                <w:rFonts w:ascii="仿宋" w:hAnsi="仿宋" w:eastAsia="仿宋"/>
                <w:sz w:val="32"/>
                <w:szCs w:val="32"/>
              </w:rPr>
              <w:t>SCI(</w:t>
            </w:r>
            <w:r>
              <w:rPr>
                <w:rFonts w:ascii="仿宋" w:hAnsi="仿宋" w:eastAsia="仿宋"/>
                <w:spacing w:val="-2"/>
                <w:sz w:val="32"/>
                <w:szCs w:val="32"/>
              </w:rPr>
              <w:t>一区)检索论文</w:t>
            </w:r>
          </w:p>
        </w:tc>
        <w:tc>
          <w:tcPr>
            <w:tcW w:w="2883" w:type="dxa"/>
          </w:tcPr>
          <w:p w14:paraId="18312BF4">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20</w:t>
            </w:r>
          </w:p>
        </w:tc>
      </w:tr>
      <w:tr w14:paraId="7A6F8496">
        <w:trPr>
          <w:trHeight w:val="446" w:hRule="atLeast"/>
        </w:trPr>
        <w:tc>
          <w:tcPr>
            <w:tcW w:w="5216" w:type="dxa"/>
          </w:tcPr>
          <w:p w14:paraId="307958C1">
            <w:pPr>
              <w:pStyle w:val="13"/>
              <w:spacing w:before="0" w:line="360" w:lineRule="auto"/>
              <w:ind w:left="0"/>
              <w:jc w:val="center"/>
              <w:rPr>
                <w:rFonts w:hint="eastAsia" w:ascii="仿宋" w:hAnsi="仿宋" w:eastAsia="仿宋"/>
                <w:sz w:val="32"/>
                <w:szCs w:val="32"/>
              </w:rPr>
            </w:pPr>
            <w:r>
              <w:rPr>
                <w:rFonts w:ascii="仿宋" w:hAnsi="仿宋" w:eastAsia="仿宋"/>
                <w:sz w:val="32"/>
                <w:szCs w:val="32"/>
              </w:rPr>
              <w:t>SCI(</w:t>
            </w:r>
            <w:r>
              <w:rPr>
                <w:rFonts w:ascii="仿宋" w:hAnsi="仿宋" w:eastAsia="仿宋"/>
                <w:spacing w:val="-2"/>
                <w:sz w:val="32"/>
                <w:szCs w:val="32"/>
              </w:rPr>
              <w:t>二区)检索论文</w:t>
            </w:r>
          </w:p>
        </w:tc>
        <w:tc>
          <w:tcPr>
            <w:tcW w:w="2883" w:type="dxa"/>
          </w:tcPr>
          <w:p w14:paraId="3A4EC1D9">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15</w:t>
            </w:r>
          </w:p>
        </w:tc>
      </w:tr>
      <w:tr w14:paraId="5A392DF5">
        <w:trPr>
          <w:trHeight w:val="443" w:hRule="atLeast"/>
        </w:trPr>
        <w:tc>
          <w:tcPr>
            <w:tcW w:w="5216" w:type="dxa"/>
          </w:tcPr>
          <w:p w14:paraId="233E57C5">
            <w:pPr>
              <w:pStyle w:val="13"/>
              <w:spacing w:before="0" w:line="360" w:lineRule="auto"/>
              <w:ind w:left="0"/>
              <w:jc w:val="center"/>
              <w:rPr>
                <w:rFonts w:hint="eastAsia" w:ascii="仿宋" w:hAnsi="仿宋" w:eastAsia="仿宋"/>
                <w:sz w:val="32"/>
                <w:szCs w:val="32"/>
              </w:rPr>
            </w:pPr>
            <w:r>
              <w:rPr>
                <w:rFonts w:ascii="仿宋" w:hAnsi="仿宋" w:eastAsia="仿宋"/>
                <w:sz w:val="32"/>
                <w:szCs w:val="32"/>
              </w:rPr>
              <w:t>SCI(</w:t>
            </w:r>
            <w:r>
              <w:rPr>
                <w:rFonts w:ascii="仿宋" w:hAnsi="仿宋" w:eastAsia="仿宋"/>
                <w:spacing w:val="-1"/>
                <w:sz w:val="32"/>
                <w:szCs w:val="32"/>
              </w:rPr>
              <w:t>三区、四区)检索论文</w:t>
            </w:r>
          </w:p>
        </w:tc>
        <w:tc>
          <w:tcPr>
            <w:tcW w:w="2883" w:type="dxa"/>
          </w:tcPr>
          <w:p w14:paraId="29B9DBFC">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10</w:t>
            </w:r>
          </w:p>
        </w:tc>
      </w:tr>
      <w:tr w14:paraId="42D405CB">
        <w:trPr>
          <w:trHeight w:val="446" w:hRule="atLeast"/>
        </w:trPr>
        <w:tc>
          <w:tcPr>
            <w:tcW w:w="5216" w:type="dxa"/>
          </w:tcPr>
          <w:p w14:paraId="5EA500EB">
            <w:pPr>
              <w:pStyle w:val="13"/>
              <w:spacing w:before="0" w:line="360" w:lineRule="auto"/>
              <w:ind w:left="0"/>
              <w:jc w:val="center"/>
              <w:rPr>
                <w:rFonts w:hint="eastAsia" w:ascii="仿宋" w:hAnsi="仿宋" w:eastAsia="仿宋"/>
                <w:sz w:val="32"/>
                <w:szCs w:val="32"/>
              </w:rPr>
            </w:pPr>
            <w:r>
              <w:rPr>
                <w:rFonts w:ascii="仿宋" w:hAnsi="仿宋" w:eastAsia="仿宋"/>
                <w:sz w:val="32"/>
                <w:szCs w:val="32"/>
              </w:rPr>
              <w:t>A</w:t>
            </w:r>
            <w:r>
              <w:rPr>
                <w:rFonts w:ascii="仿宋" w:hAnsi="仿宋" w:eastAsia="仿宋"/>
                <w:spacing w:val="-19"/>
                <w:sz w:val="32"/>
                <w:szCs w:val="32"/>
              </w:rPr>
              <w:t>类论文</w:t>
            </w:r>
          </w:p>
        </w:tc>
        <w:tc>
          <w:tcPr>
            <w:tcW w:w="2883" w:type="dxa"/>
          </w:tcPr>
          <w:p w14:paraId="7B212D4E">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5</w:t>
            </w:r>
          </w:p>
        </w:tc>
      </w:tr>
    </w:tbl>
    <w:p w14:paraId="5AEF0B58">
      <w:pPr>
        <w:pStyle w:val="4"/>
        <w:spacing w:line="360" w:lineRule="auto"/>
        <w:ind w:left="0"/>
        <w:jc w:val="both"/>
        <w:rPr>
          <w:rFonts w:hint="eastAsia" w:ascii="仿宋" w:hAnsi="仿宋" w:eastAsia="仿宋"/>
        </w:rPr>
      </w:pPr>
      <w:r>
        <w:rPr>
          <w:rFonts w:ascii="仿宋" w:hAnsi="仿宋" w:eastAsia="仿宋"/>
          <w:spacing w:val="5"/>
        </w:rPr>
        <w:t>★上表中的论文均指以上海理工大学研究生身份为第一</w:t>
      </w:r>
      <w:r>
        <w:rPr>
          <w:rFonts w:ascii="仿宋" w:hAnsi="仿宋" w:eastAsia="仿宋"/>
          <w:spacing w:val="11"/>
        </w:rPr>
        <w:t>作者且第一作者单位是上海理工大学公开发表的学术论文</w:t>
      </w:r>
    </w:p>
    <w:p w14:paraId="1F931D91">
      <w:pPr>
        <w:pStyle w:val="4"/>
        <w:spacing w:line="360" w:lineRule="auto"/>
        <w:ind w:left="0"/>
        <w:jc w:val="both"/>
        <w:rPr>
          <w:rFonts w:hint="eastAsia" w:ascii="仿宋" w:hAnsi="仿宋" w:eastAsia="仿宋"/>
        </w:rPr>
      </w:pPr>
      <w:r>
        <w:rPr>
          <w:rFonts w:ascii="仿宋" w:hAnsi="仿宋" w:eastAsia="仿宋"/>
          <w:spacing w:val="-2"/>
        </w:rPr>
        <w:t>（若导师为第一作者，学生为第二作者的论文，对学生按50%</w:t>
      </w:r>
      <w:r>
        <w:rPr>
          <w:rFonts w:ascii="仿宋" w:hAnsi="仿宋" w:eastAsia="仿宋"/>
          <w:spacing w:val="-4"/>
        </w:rPr>
        <w:t>计算）。</w:t>
      </w:r>
    </w:p>
    <w:p w14:paraId="69E1FB0C">
      <w:pPr>
        <w:pStyle w:val="4"/>
        <w:spacing w:line="360" w:lineRule="auto"/>
        <w:ind w:left="0"/>
        <w:jc w:val="both"/>
        <w:rPr>
          <w:rFonts w:hint="eastAsia" w:ascii="仿宋" w:hAnsi="仿宋" w:eastAsia="仿宋"/>
        </w:rPr>
      </w:pPr>
      <w:r>
        <w:rPr>
          <w:rFonts w:ascii="仿宋" w:hAnsi="仿宋" w:eastAsia="仿宋"/>
          <w:spacing w:val="5"/>
        </w:rPr>
        <w:t>★有多篇以学生本人为第二作者的论文，以最高得分计</w:t>
      </w:r>
      <w:r>
        <w:rPr>
          <w:rFonts w:ascii="仿宋" w:hAnsi="仿宋" w:eastAsia="仿宋"/>
        </w:rPr>
        <w:t>入1篇。</w:t>
      </w:r>
    </w:p>
    <w:p w14:paraId="1D68DE1E">
      <w:pPr>
        <w:pStyle w:val="4"/>
        <w:spacing w:line="360" w:lineRule="auto"/>
        <w:ind w:left="0"/>
        <w:jc w:val="both"/>
        <w:rPr>
          <w:rFonts w:hint="eastAsia" w:ascii="仿宋" w:hAnsi="仿宋" w:eastAsia="仿宋"/>
        </w:rPr>
      </w:pPr>
      <w:r>
        <w:rPr>
          <w:rFonts w:ascii="仿宋" w:hAnsi="仿宋" w:eastAsia="仿宋"/>
        </w:rPr>
        <w:t>★论文分类参考学校的相关文件执行。同一成果按最高</w:t>
      </w:r>
      <w:r>
        <w:rPr>
          <w:rFonts w:ascii="仿宋" w:hAnsi="仿宋" w:eastAsia="仿宋"/>
          <w:spacing w:val="-2"/>
        </w:rPr>
        <w:t>分计，不重复计算。</w:t>
      </w:r>
    </w:p>
    <w:p w14:paraId="2552D1E8">
      <w:pPr>
        <w:pStyle w:val="4"/>
        <w:spacing w:line="360" w:lineRule="auto"/>
        <w:ind w:left="0"/>
        <w:jc w:val="both"/>
        <w:rPr>
          <w:rFonts w:hint="eastAsia" w:ascii="仿宋" w:hAnsi="仿宋" w:eastAsia="仿宋"/>
        </w:rPr>
      </w:pPr>
      <w:r>
        <w:rPr>
          <w:rFonts w:ascii="仿宋" w:hAnsi="仿宋" w:eastAsia="仿宋"/>
          <w:spacing w:val="-4"/>
        </w:rPr>
        <w:t>2、研究成果（专利）</w:t>
      </w:r>
      <w:r>
        <w:rPr>
          <w:rFonts w:ascii="仿宋" w:hAnsi="仿宋" w:eastAsia="仿宋"/>
          <w:spacing w:val="-5"/>
        </w:rPr>
        <w:t>分值规定如下：</w:t>
      </w:r>
    </w:p>
    <w:tbl>
      <w:tblPr>
        <w:tblStyle w:val="11"/>
        <w:tblW w:w="0" w:type="auto"/>
        <w:tblInd w:w="5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16"/>
        <w:gridCol w:w="2883"/>
      </w:tblGrid>
      <w:tr w14:paraId="172DE33D">
        <w:trPr>
          <w:trHeight w:val="443" w:hRule="atLeast"/>
        </w:trPr>
        <w:tc>
          <w:tcPr>
            <w:tcW w:w="5216" w:type="dxa"/>
          </w:tcPr>
          <w:p w14:paraId="754B85B9">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级别</w:t>
            </w:r>
          </w:p>
        </w:tc>
        <w:tc>
          <w:tcPr>
            <w:tcW w:w="2883" w:type="dxa"/>
          </w:tcPr>
          <w:p w14:paraId="6D55FF3E">
            <w:pPr>
              <w:pStyle w:val="13"/>
              <w:spacing w:before="0" w:line="360" w:lineRule="auto"/>
              <w:ind w:left="0"/>
              <w:jc w:val="center"/>
              <w:rPr>
                <w:rFonts w:hint="eastAsia" w:ascii="仿宋" w:hAnsi="仿宋" w:eastAsia="仿宋"/>
                <w:sz w:val="32"/>
                <w:szCs w:val="32"/>
              </w:rPr>
            </w:pPr>
            <w:r>
              <w:rPr>
                <w:rFonts w:ascii="仿宋" w:hAnsi="仿宋" w:eastAsia="仿宋"/>
                <w:spacing w:val="-3"/>
                <w:sz w:val="32"/>
                <w:szCs w:val="32"/>
              </w:rPr>
              <w:t>分值/项</w:t>
            </w:r>
          </w:p>
        </w:tc>
      </w:tr>
      <w:tr w14:paraId="74A4BDBC">
        <w:trPr>
          <w:trHeight w:val="446" w:hRule="atLeast"/>
        </w:trPr>
        <w:tc>
          <w:tcPr>
            <w:tcW w:w="5216" w:type="dxa"/>
          </w:tcPr>
          <w:p w14:paraId="56735C6C">
            <w:pPr>
              <w:pStyle w:val="13"/>
              <w:spacing w:before="0" w:line="360" w:lineRule="auto"/>
              <w:ind w:left="0"/>
              <w:jc w:val="center"/>
              <w:rPr>
                <w:rFonts w:hint="eastAsia" w:ascii="仿宋" w:hAnsi="仿宋" w:eastAsia="仿宋"/>
                <w:sz w:val="32"/>
                <w:szCs w:val="32"/>
              </w:rPr>
            </w:pPr>
            <w:r>
              <w:rPr>
                <w:rFonts w:ascii="仿宋" w:hAnsi="仿宋" w:eastAsia="仿宋"/>
                <w:spacing w:val="-2"/>
                <w:sz w:val="32"/>
                <w:szCs w:val="32"/>
              </w:rPr>
              <w:t>已授权发明专利</w:t>
            </w:r>
          </w:p>
        </w:tc>
        <w:tc>
          <w:tcPr>
            <w:tcW w:w="2883" w:type="dxa"/>
          </w:tcPr>
          <w:p w14:paraId="22AD7D18">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10</w:t>
            </w:r>
          </w:p>
        </w:tc>
      </w:tr>
      <w:tr w14:paraId="73258CC4">
        <w:trPr>
          <w:trHeight w:val="443" w:hRule="atLeast"/>
        </w:trPr>
        <w:tc>
          <w:tcPr>
            <w:tcW w:w="5216" w:type="dxa"/>
          </w:tcPr>
          <w:p w14:paraId="6F0FC217">
            <w:pPr>
              <w:pStyle w:val="13"/>
              <w:spacing w:before="0" w:line="360" w:lineRule="auto"/>
              <w:ind w:left="0"/>
              <w:jc w:val="center"/>
              <w:rPr>
                <w:rFonts w:hint="eastAsia" w:ascii="仿宋" w:hAnsi="仿宋" w:eastAsia="仿宋"/>
                <w:sz w:val="32"/>
                <w:szCs w:val="32"/>
              </w:rPr>
            </w:pPr>
            <w:r>
              <w:rPr>
                <w:rFonts w:ascii="仿宋" w:hAnsi="仿宋" w:eastAsia="仿宋"/>
                <w:spacing w:val="-2"/>
                <w:sz w:val="32"/>
                <w:szCs w:val="32"/>
              </w:rPr>
              <w:t>申请发明专利</w:t>
            </w:r>
          </w:p>
        </w:tc>
        <w:tc>
          <w:tcPr>
            <w:tcW w:w="2883" w:type="dxa"/>
          </w:tcPr>
          <w:p w14:paraId="4A95E2AB">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1</w:t>
            </w:r>
          </w:p>
        </w:tc>
      </w:tr>
    </w:tbl>
    <w:p w14:paraId="02962275">
      <w:pPr>
        <w:pStyle w:val="4"/>
        <w:spacing w:line="360" w:lineRule="auto"/>
        <w:ind w:left="0"/>
        <w:jc w:val="both"/>
        <w:rPr>
          <w:rFonts w:hint="eastAsia" w:ascii="仿宋" w:hAnsi="仿宋" w:eastAsia="仿宋"/>
        </w:rPr>
      </w:pPr>
      <w:r>
        <w:rPr>
          <w:rFonts w:ascii="仿宋" w:hAnsi="仿宋" w:eastAsia="仿宋"/>
          <w:spacing w:val="-2"/>
        </w:rPr>
        <w:t>★发明专利第一署名者单位应是上海理工大学。学生第二排</w:t>
      </w:r>
      <w:r>
        <w:rPr>
          <w:rFonts w:ascii="仿宋" w:hAnsi="仿宋" w:eastAsia="仿宋"/>
        </w:rPr>
        <w:t>名计算25%，学生第三排名计算15%；其它靠后的排名均不计算。</w:t>
      </w:r>
    </w:p>
    <w:p w14:paraId="30AAFBAF">
      <w:pPr>
        <w:pStyle w:val="4"/>
        <w:spacing w:line="360" w:lineRule="auto"/>
        <w:ind w:left="0"/>
        <w:jc w:val="both"/>
        <w:rPr>
          <w:rFonts w:hint="eastAsia" w:ascii="仿宋" w:hAnsi="仿宋" w:eastAsia="仿宋"/>
        </w:rPr>
      </w:pPr>
      <w:r>
        <w:rPr>
          <w:rFonts w:ascii="仿宋" w:hAnsi="仿宋" w:eastAsia="仿宋"/>
          <w:spacing w:val="-4"/>
        </w:rPr>
        <w:t>3</w:t>
      </w:r>
      <w:r>
        <w:rPr>
          <w:rFonts w:ascii="仿宋" w:hAnsi="仿宋" w:eastAsia="仿宋"/>
          <w:spacing w:val="-5"/>
        </w:rPr>
        <w:t>、科技竞赛奖分值规定如下：</w:t>
      </w:r>
    </w:p>
    <w:tbl>
      <w:tblPr>
        <w:tblStyle w:val="11"/>
        <w:tblW w:w="0" w:type="auto"/>
        <w:tblInd w:w="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93"/>
        <w:gridCol w:w="3118"/>
        <w:gridCol w:w="2269"/>
      </w:tblGrid>
      <w:tr w14:paraId="251E162E">
        <w:trPr>
          <w:trHeight w:val="446" w:hRule="atLeast"/>
        </w:trPr>
        <w:tc>
          <w:tcPr>
            <w:tcW w:w="2693" w:type="dxa"/>
          </w:tcPr>
          <w:p w14:paraId="2A863BE5">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级别</w:t>
            </w:r>
          </w:p>
        </w:tc>
        <w:tc>
          <w:tcPr>
            <w:tcW w:w="3118" w:type="dxa"/>
          </w:tcPr>
          <w:p w14:paraId="7AB4996E">
            <w:pPr>
              <w:pStyle w:val="13"/>
              <w:spacing w:before="0" w:line="360" w:lineRule="auto"/>
              <w:ind w:left="0"/>
              <w:jc w:val="center"/>
              <w:rPr>
                <w:rFonts w:hint="eastAsia" w:ascii="仿宋" w:hAnsi="仿宋" w:eastAsia="仿宋"/>
                <w:sz w:val="32"/>
                <w:szCs w:val="32"/>
              </w:rPr>
            </w:pPr>
            <w:r>
              <w:rPr>
                <w:rFonts w:ascii="仿宋" w:hAnsi="仿宋" w:eastAsia="仿宋"/>
                <w:spacing w:val="-3"/>
                <w:sz w:val="32"/>
                <w:szCs w:val="32"/>
              </w:rPr>
              <w:t>获奖等级</w:t>
            </w:r>
          </w:p>
        </w:tc>
        <w:tc>
          <w:tcPr>
            <w:tcW w:w="2269" w:type="dxa"/>
          </w:tcPr>
          <w:p w14:paraId="7D6EF79C">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分值</w:t>
            </w:r>
          </w:p>
        </w:tc>
      </w:tr>
      <w:tr w14:paraId="31393DDD">
        <w:trPr>
          <w:trHeight w:val="443" w:hRule="atLeast"/>
        </w:trPr>
        <w:tc>
          <w:tcPr>
            <w:tcW w:w="2693" w:type="dxa"/>
            <w:vMerge w:val="restart"/>
          </w:tcPr>
          <w:p w14:paraId="0E45BBF4">
            <w:pPr>
              <w:pStyle w:val="13"/>
              <w:spacing w:before="0" w:line="360" w:lineRule="auto"/>
              <w:ind w:left="0"/>
              <w:jc w:val="center"/>
              <w:rPr>
                <w:rFonts w:hint="eastAsia" w:ascii="仿宋" w:hAnsi="仿宋" w:eastAsia="仿宋"/>
                <w:sz w:val="32"/>
                <w:szCs w:val="32"/>
              </w:rPr>
            </w:pPr>
          </w:p>
          <w:p w14:paraId="24483FEE">
            <w:pPr>
              <w:pStyle w:val="13"/>
              <w:spacing w:before="0" w:line="360" w:lineRule="auto"/>
              <w:ind w:left="0"/>
              <w:jc w:val="center"/>
              <w:rPr>
                <w:rFonts w:hint="eastAsia" w:ascii="仿宋" w:hAnsi="仿宋" w:eastAsia="仿宋"/>
                <w:sz w:val="32"/>
                <w:szCs w:val="32"/>
              </w:rPr>
            </w:pPr>
            <w:r>
              <w:rPr>
                <w:rFonts w:ascii="仿宋" w:hAnsi="仿宋" w:eastAsia="仿宋"/>
                <w:spacing w:val="-4"/>
                <w:sz w:val="32"/>
                <w:szCs w:val="32"/>
              </w:rPr>
              <w:t>国家级</w:t>
            </w:r>
          </w:p>
        </w:tc>
        <w:tc>
          <w:tcPr>
            <w:tcW w:w="3118" w:type="dxa"/>
          </w:tcPr>
          <w:p w14:paraId="02C96176">
            <w:pPr>
              <w:pStyle w:val="13"/>
              <w:spacing w:before="0" w:line="360" w:lineRule="auto"/>
              <w:ind w:left="0"/>
              <w:jc w:val="center"/>
              <w:rPr>
                <w:rFonts w:hint="eastAsia" w:ascii="仿宋" w:hAnsi="仿宋" w:eastAsia="仿宋"/>
                <w:sz w:val="32"/>
                <w:szCs w:val="32"/>
              </w:rPr>
            </w:pPr>
            <w:r>
              <w:rPr>
                <w:rFonts w:ascii="仿宋" w:hAnsi="仿宋" w:eastAsia="仿宋"/>
                <w:spacing w:val="-4"/>
                <w:sz w:val="32"/>
                <w:szCs w:val="32"/>
              </w:rPr>
              <w:t>一等奖</w:t>
            </w:r>
          </w:p>
        </w:tc>
        <w:tc>
          <w:tcPr>
            <w:tcW w:w="2269" w:type="dxa"/>
          </w:tcPr>
          <w:p w14:paraId="02AC90BC">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10</w:t>
            </w:r>
          </w:p>
        </w:tc>
      </w:tr>
      <w:tr w14:paraId="13C317D8">
        <w:trPr>
          <w:trHeight w:val="446" w:hRule="atLeast"/>
        </w:trPr>
        <w:tc>
          <w:tcPr>
            <w:tcW w:w="2693" w:type="dxa"/>
            <w:vMerge w:val="continue"/>
          </w:tcPr>
          <w:p w14:paraId="7C070F49">
            <w:pPr>
              <w:spacing w:line="360" w:lineRule="auto"/>
              <w:jc w:val="center"/>
              <w:rPr>
                <w:rFonts w:hint="eastAsia" w:ascii="仿宋" w:hAnsi="仿宋" w:eastAsia="仿宋"/>
                <w:sz w:val="32"/>
                <w:szCs w:val="32"/>
              </w:rPr>
            </w:pPr>
          </w:p>
        </w:tc>
        <w:tc>
          <w:tcPr>
            <w:tcW w:w="3118" w:type="dxa"/>
          </w:tcPr>
          <w:p w14:paraId="35E24B12">
            <w:pPr>
              <w:pStyle w:val="13"/>
              <w:spacing w:before="0" w:line="360" w:lineRule="auto"/>
              <w:ind w:left="0"/>
              <w:jc w:val="center"/>
              <w:rPr>
                <w:rFonts w:hint="eastAsia" w:ascii="仿宋" w:hAnsi="仿宋" w:eastAsia="仿宋"/>
                <w:sz w:val="32"/>
                <w:szCs w:val="32"/>
              </w:rPr>
            </w:pPr>
            <w:r>
              <w:rPr>
                <w:rFonts w:ascii="仿宋" w:hAnsi="仿宋" w:eastAsia="仿宋"/>
                <w:spacing w:val="-4"/>
                <w:sz w:val="32"/>
                <w:szCs w:val="32"/>
              </w:rPr>
              <w:t>二等奖</w:t>
            </w:r>
          </w:p>
        </w:tc>
        <w:tc>
          <w:tcPr>
            <w:tcW w:w="2269" w:type="dxa"/>
          </w:tcPr>
          <w:p w14:paraId="4566CC94">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8</w:t>
            </w:r>
          </w:p>
        </w:tc>
      </w:tr>
      <w:tr w14:paraId="7E33A84E">
        <w:trPr>
          <w:trHeight w:val="443" w:hRule="atLeast"/>
        </w:trPr>
        <w:tc>
          <w:tcPr>
            <w:tcW w:w="2693" w:type="dxa"/>
            <w:vMerge w:val="continue"/>
          </w:tcPr>
          <w:p w14:paraId="3E767749">
            <w:pPr>
              <w:spacing w:line="360" w:lineRule="auto"/>
              <w:jc w:val="center"/>
              <w:rPr>
                <w:rFonts w:hint="eastAsia" w:ascii="仿宋" w:hAnsi="仿宋" w:eastAsia="仿宋"/>
                <w:sz w:val="32"/>
                <w:szCs w:val="32"/>
              </w:rPr>
            </w:pPr>
          </w:p>
        </w:tc>
        <w:tc>
          <w:tcPr>
            <w:tcW w:w="3118" w:type="dxa"/>
          </w:tcPr>
          <w:p w14:paraId="61CAFFBD">
            <w:pPr>
              <w:pStyle w:val="13"/>
              <w:spacing w:before="0" w:line="360" w:lineRule="auto"/>
              <w:ind w:left="0"/>
              <w:jc w:val="center"/>
              <w:rPr>
                <w:rFonts w:hint="eastAsia" w:ascii="仿宋" w:hAnsi="仿宋" w:eastAsia="仿宋"/>
                <w:sz w:val="32"/>
                <w:szCs w:val="32"/>
              </w:rPr>
            </w:pPr>
            <w:r>
              <w:rPr>
                <w:rFonts w:ascii="仿宋" w:hAnsi="仿宋" w:eastAsia="仿宋"/>
                <w:spacing w:val="-4"/>
                <w:sz w:val="32"/>
                <w:szCs w:val="32"/>
              </w:rPr>
              <w:t>三等奖</w:t>
            </w:r>
          </w:p>
        </w:tc>
        <w:tc>
          <w:tcPr>
            <w:tcW w:w="2269" w:type="dxa"/>
          </w:tcPr>
          <w:p w14:paraId="43C1D5CB">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5</w:t>
            </w:r>
          </w:p>
        </w:tc>
      </w:tr>
      <w:tr w14:paraId="24FF6C8A">
        <w:trPr>
          <w:trHeight w:val="446" w:hRule="atLeast"/>
        </w:trPr>
        <w:tc>
          <w:tcPr>
            <w:tcW w:w="2693" w:type="dxa"/>
          </w:tcPr>
          <w:p w14:paraId="1ECCB731">
            <w:pPr>
              <w:pStyle w:val="13"/>
              <w:spacing w:before="0" w:line="360" w:lineRule="auto"/>
              <w:ind w:left="0"/>
              <w:jc w:val="center"/>
              <w:rPr>
                <w:rFonts w:hint="eastAsia" w:ascii="仿宋" w:hAnsi="仿宋" w:eastAsia="仿宋"/>
                <w:sz w:val="32"/>
                <w:szCs w:val="32"/>
              </w:rPr>
            </w:pPr>
          </w:p>
        </w:tc>
        <w:tc>
          <w:tcPr>
            <w:tcW w:w="3118" w:type="dxa"/>
          </w:tcPr>
          <w:p w14:paraId="2E9C9A35">
            <w:pPr>
              <w:pStyle w:val="13"/>
              <w:spacing w:before="0" w:line="360" w:lineRule="auto"/>
              <w:ind w:left="0"/>
              <w:jc w:val="center"/>
              <w:rPr>
                <w:rFonts w:hint="eastAsia" w:ascii="仿宋" w:hAnsi="仿宋" w:eastAsia="仿宋"/>
                <w:sz w:val="32"/>
                <w:szCs w:val="32"/>
              </w:rPr>
            </w:pPr>
            <w:r>
              <w:rPr>
                <w:rFonts w:ascii="仿宋" w:hAnsi="仿宋" w:eastAsia="仿宋"/>
                <w:spacing w:val="-4"/>
                <w:sz w:val="32"/>
                <w:szCs w:val="32"/>
              </w:rPr>
              <w:t>一等奖</w:t>
            </w:r>
          </w:p>
        </w:tc>
        <w:tc>
          <w:tcPr>
            <w:tcW w:w="2269" w:type="dxa"/>
          </w:tcPr>
          <w:p w14:paraId="48D4C110">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8</w:t>
            </w:r>
          </w:p>
        </w:tc>
      </w:tr>
      <w:tr w14:paraId="35A638DA">
        <w:trPr>
          <w:trHeight w:val="446" w:hRule="atLeast"/>
        </w:trPr>
        <w:tc>
          <w:tcPr>
            <w:tcW w:w="2693" w:type="dxa"/>
            <w:vMerge w:val="restart"/>
            <w:vAlign w:val="center"/>
          </w:tcPr>
          <w:p w14:paraId="5012EB0A">
            <w:pPr>
              <w:pStyle w:val="13"/>
              <w:spacing w:before="0" w:line="360" w:lineRule="auto"/>
              <w:ind w:left="0"/>
              <w:jc w:val="center"/>
              <w:rPr>
                <w:rFonts w:hint="eastAsia" w:ascii="仿宋" w:hAnsi="仿宋" w:eastAsia="仿宋"/>
                <w:sz w:val="32"/>
                <w:szCs w:val="32"/>
              </w:rPr>
            </w:pPr>
            <w:r>
              <w:rPr>
                <w:rFonts w:ascii="仿宋" w:hAnsi="仿宋" w:eastAsia="仿宋"/>
                <w:spacing w:val="-4"/>
                <w:sz w:val="32"/>
                <w:szCs w:val="32"/>
              </w:rPr>
              <w:t>省部市级</w:t>
            </w:r>
          </w:p>
        </w:tc>
        <w:tc>
          <w:tcPr>
            <w:tcW w:w="3118" w:type="dxa"/>
          </w:tcPr>
          <w:p w14:paraId="00CFC0B8">
            <w:pPr>
              <w:pStyle w:val="13"/>
              <w:spacing w:before="0" w:line="360" w:lineRule="auto"/>
              <w:ind w:left="0"/>
              <w:jc w:val="center"/>
              <w:rPr>
                <w:rFonts w:hint="eastAsia" w:ascii="仿宋" w:hAnsi="仿宋" w:eastAsia="仿宋"/>
                <w:spacing w:val="-4"/>
                <w:sz w:val="32"/>
                <w:szCs w:val="32"/>
              </w:rPr>
            </w:pPr>
            <w:r>
              <w:rPr>
                <w:rFonts w:hint="eastAsia" w:ascii="仿宋" w:hAnsi="仿宋" w:eastAsia="仿宋"/>
                <w:sz w:val="32"/>
                <w:szCs w:val="32"/>
              </w:rPr>
              <w:t>二等奖</w:t>
            </w:r>
          </w:p>
        </w:tc>
        <w:tc>
          <w:tcPr>
            <w:tcW w:w="2269" w:type="dxa"/>
          </w:tcPr>
          <w:p w14:paraId="3D20FD67">
            <w:pPr>
              <w:pStyle w:val="13"/>
              <w:spacing w:before="0" w:line="360" w:lineRule="auto"/>
              <w:ind w:left="0"/>
              <w:jc w:val="center"/>
              <w:rPr>
                <w:rFonts w:hint="eastAsia" w:ascii="仿宋" w:hAnsi="仿宋" w:eastAsia="仿宋"/>
                <w:spacing w:val="-10"/>
                <w:sz w:val="32"/>
                <w:szCs w:val="32"/>
              </w:rPr>
            </w:pPr>
            <w:r>
              <w:rPr>
                <w:rFonts w:hint="eastAsia" w:ascii="仿宋" w:hAnsi="仿宋" w:eastAsia="仿宋"/>
                <w:sz w:val="32"/>
                <w:szCs w:val="32"/>
              </w:rPr>
              <w:t>5</w:t>
            </w:r>
          </w:p>
        </w:tc>
      </w:tr>
      <w:tr w14:paraId="2461DC14">
        <w:trPr>
          <w:trHeight w:val="446" w:hRule="atLeast"/>
        </w:trPr>
        <w:tc>
          <w:tcPr>
            <w:tcW w:w="2693" w:type="dxa"/>
            <w:vMerge w:val="continue"/>
          </w:tcPr>
          <w:p w14:paraId="44DFDFBB">
            <w:pPr>
              <w:pStyle w:val="13"/>
              <w:spacing w:before="0" w:line="360" w:lineRule="auto"/>
              <w:ind w:left="0"/>
              <w:jc w:val="center"/>
              <w:rPr>
                <w:rFonts w:hint="eastAsia" w:ascii="仿宋" w:hAnsi="仿宋" w:eastAsia="仿宋"/>
                <w:sz w:val="32"/>
                <w:szCs w:val="32"/>
              </w:rPr>
            </w:pPr>
          </w:p>
        </w:tc>
        <w:tc>
          <w:tcPr>
            <w:tcW w:w="3118" w:type="dxa"/>
          </w:tcPr>
          <w:p w14:paraId="5B96EF49">
            <w:pPr>
              <w:pStyle w:val="13"/>
              <w:spacing w:before="0" w:line="360" w:lineRule="auto"/>
              <w:ind w:left="0"/>
              <w:jc w:val="center"/>
              <w:rPr>
                <w:rFonts w:hint="eastAsia" w:ascii="仿宋" w:hAnsi="仿宋" w:eastAsia="仿宋"/>
                <w:spacing w:val="-4"/>
                <w:sz w:val="32"/>
                <w:szCs w:val="32"/>
              </w:rPr>
            </w:pPr>
            <w:r>
              <w:rPr>
                <w:rFonts w:hint="eastAsia" w:ascii="仿宋" w:hAnsi="仿宋" w:eastAsia="仿宋"/>
                <w:sz w:val="32"/>
                <w:szCs w:val="32"/>
              </w:rPr>
              <w:t>三等奖</w:t>
            </w:r>
          </w:p>
        </w:tc>
        <w:tc>
          <w:tcPr>
            <w:tcW w:w="2269" w:type="dxa"/>
          </w:tcPr>
          <w:p w14:paraId="4866A201">
            <w:pPr>
              <w:pStyle w:val="13"/>
              <w:spacing w:before="0" w:line="360" w:lineRule="auto"/>
              <w:ind w:left="0"/>
              <w:jc w:val="center"/>
              <w:rPr>
                <w:rFonts w:hint="eastAsia" w:ascii="仿宋" w:hAnsi="仿宋" w:eastAsia="仿宋"/>
                <w:spacing w:val="-10"/>
                <w:sz w:val="32"/>
                <w:szCs w:val="32"/>
              </w:rPr>
            </w:pPr>
            <w:r>
              <w:rPr>
                <w:rFonts w:hint="eastAsia" w:ascii="仿宋" w:hAnsi="仿宋" w:eastAsia="仿宋"/>
                <w:sz w:val="32"/>
                <w:szCs w:val="32"/>
              </w:rPr>
              <w:t>2</w:t>
            </w:r>
          </w:p>
        </w:tc>
      </w:tr>
      <w:tr w14:paraId="19376761">
        <w:trPr>
          <w:trHeight w:val="446" w:hRule="atLeast"/>
        </w:trPr>
        <w:tc>
          <w:tcPr>
            <w:tcW w:w="2693" w:type="dxa"/>
            <w:vMerge w:val="restart"/>
            <w:vAlign w:val="center"/>
          </w:tcPr>
          <w:p w14:paraId="5944AB54">
            <w:pPr>
              <w:pStyle w:val="13"/>
              <w:spacing w:before="0" w:line="360" w:lineRule="auto"/>
              <w:ind w:left="0"/>
              <w:jc w:val="center"/>
              <w:rPr>
                <w:rFonts w:hint="eastAsia" w:ascii="仿宋" w:hAnsi="仿宋" w:eastAsia="仿宋"/>
                <w:sz w:val="32"/>
                <w:szCs w:val="32"/>
              </w:rPr>
            </w:pPr>
            <w:r>
              <w:rPr>
                <w:rFonts w:ascii="仿宋" w:hAnsi="仿宋" w:eastAsia="仿宋"/>
                <w:spacing w:val="-4"/>
                <w:sz w:val="32"/>
                <w:szCs w:val="32"/>
              </w:rPr>
              <w:t>校级</w:t>
            </w:r>
          </w:p>
        </w:tc>
        <w:tc>
          <w:tcPr>
            <w:tcW w:w="3118" w:type="dxa"/>
          </w:tcPr>
          <w:p w14:paraId="3A6D9AF8">
            <w:pPr>
              <w:pStyle w:val="13"/>
              <w:spacing w:before="0" w:line="360" w:lineRule="auto"/>
              <w:ind w:left="0"/>
              <w:jc w:val="center"/>
              <w:rPr>
                <w:rFonts w:hint="eastAsia" w:ascii="仿宋" w:hAnsi="仿宋" w:eastAsia="仿宋"/>
                <w:spacing w:val="-4"/>
                <w:sz w:val="32"/>
                <w:szCs w:val="32"/>
              </w:rPr>
            </w:pPr>
            <w:r>
              <w:rPr>
                <w:rFonts w:hint="eastAsia" w:ascii="仿宋" w:hAnsi="仿宋" w:eastAsia="仿宋"/>
                <w:sz w:val="32"/>
                <w:szCs w:val="32"/>
              </w:rPr>
              <w:t>一等奖</w:t>
            </w:r>
          </w:p>
        </w:tc>
        <w:tc>
          <w:tcPr>
            <w:tcW w:w="2269" w:type="dxa"/>
          </w:tcPr>
          <w:p w14:paraId="19DEF3B0">
            <w:pPr>
              <w:pStyle w:val="13"/>
              <w:spacing w:before="0" w:line="360" w:lineRule="auto"/>
              <w:ind w:left="0"/>
              <w:jc w:val="center"/>
              <w:rPr>
                <w:rFonts w:hint="eastAsia" w:ascii="仿宋" w:hAnsi="仿宋" w:eastAsia="仿宋"/>
                <w:spacing w:val="-10"/>
                <w:sz w:val="32"/>
                <w:szCs w:val="32"/>
              </w:rPr>
            </w:pPr>
            <w:r>
              <w:rPr>
                <w:rFonts w:hint="eastAsia" w:ascii="仿宋" w:hAnsi="仿宋" w:eastAsia="仿宋"/>
                <w:sz w:val="32"/>
                <w:szCs w:val="32"/>
              </w:rPr>
              <w:t>5</w:t>
            </w:r>
          </w:p>
        </w:tc>
      </w:tr>
      <w:tr w14:paraId="68DD0FD0">
        <w:trPr>
          <w:trHeight w:val="446" w:hRule="atLeast"/>
        </w:trPr>
        <w:tc>
          <w:tcPr>
            <w:tcW w:w="2693" w:type="dxa"/>
            <w:vMerge w:val="continue"/>
          </w:tcPr>
          <w:p w14:paraId="7D85AFCE">
            <w:pPr>
              <w:pStyle w:val="13"/>
              <w:spacing w:before="0" w:line="360" w:lineRule="auto"/>
              <w:ind w:left="0"/>
              <w:jc w:val="center"/>
              <w:rPr>
                <w:rFonts w:hint="eastAsia" w:ascii="仿宋" w:hAnsi="仿宋" w:eastAsia="仿宋"/>
                <w:sz w:val="32"/>
                <w:szCs w:val="32"/>
              </w:rPr>
            </w:pPr>
          </w:p>
        </w:tc>
        <w:tc>
          <w:tcPr>
            <w:tcW w:w="3118" w:type="dxa"/>
          </w:tcPr>
          <w:p w14:paraId="0CB65B30">
            <w:pPr>
              <w:pStyle w:val="13"/>
              <w:spacing w:before="0" w:line="360" w:lineRule="auto"/>
              <w:ind w:left="0"/>
              <w:jc w:val="center"/>
              <w:rPr>
                <w:rFonts w:hint="eastAsia" w:ascii="仿宋" w:hAnsi="仿宋" w:eastAsia="仿宋"/>
                <w:spacing w:val="-4"/>
                <w:sz w:val="32"/>
                <w:szCs w:val="32"/>
              </w:rPr>
            </w:pPr>
            <w:r>
              <w:rPr>
                <w:rFonts w:hint="eastAsia" w:ascii="仿宋" w:hAnsi="仿宋" w:eastAsia="仿宋"/>
                <w:sz w:val="32"/>
                <w:szCs w:val="32"/>
              </w:rPr>
              <w:t>二等奖</w:t>
            </w:r>
          </w:p>
        </w:tc>
        <w:tc>
          <w:tcPr>
            <w:tcW w:w="2269" w:type="dxa"/>
          </w:tcPr>
          <w:p w14:paraId="4AD502E6">
            <w:pPr>
              <w:pStyle w:val="13"/>
              <w:spacing w:before="0" w:line="360" w:lineRule="auto"/>
              <w:ind w:left="0"/>
              <w:jc w:val="center"/>
              <w:rPr>
                <w:rFonts w:hint="eastAsia" w:ascii="仿宋" w:hAnsi="仿宋" w:eastAsia="仿宋"/>
                <w:spacing w:val="-10"/>
                <w:sz w:val="32"/>
                <w:szCs w:val="32"/>
              </w:rPr>
            </w:pPr>
            <w:r>
              <w:rPr>
                <w:rFonts w:hint="eastAsia" w:ascii="仿宋" w:hAnsi="仿宋" w:eastAsia="仿宋"/>
                <w:sz w:val="32"/>
                <w:szCs w:val="32"/>
              </w:rPr>
              <w:t>2</w:t>
            </w:r>
          </w:p>
        </w:tc>
      </w:tr>
      <w:tr w14:paraId="4A91E1ED">
        <w:trPr>
          <w:trHeight w:val="446" w:hRule="atLeast"/>
        </w:trPr>
        <w:tc>
          <w:tcPr>
            <w:tcW w:w="2693" w:type="dxa"/>
            <w:vMerge w:val="continue"/>
          </w:tcPr>
          <w:p w14:paraId="03B48BBD">
            <w:pPr>
              <w:pStyle w:val="13"/>
              <w:spacing w:before="0" w:line="360" w:lineRule="auto"/>
              <w:ind w:left="0"/>
              <w:jc w:val="center"/>
              <w:rPr>
                <w:rFonts w:hint="eastAsia" w:ascii="仿宋" w:hAnsi="仿宋" w:eastAsia="仿宋"/>
                <w:sz w:val="32"/>
                <w:szCs w:val="32"/>
              </w:rPr>
            </w:pPr>
          </w:p>
        </w:tc>
        <w:tc>
          <w:tcPr>
            <w:tcW w:w="3118" w:type="dxa"/>
          </w:tcPr>
          <w:p w14:paraId="406177B9">
            <w:pPr>
              <w:pStyle w:val="13"/>
              <w:spacing w:before="0" w:line="360" w:lineRule="auto"/>
              <w:ind w:left="0"/>
              <w:jc w:val="center"/>
              <w:rPr>
                <w:rFonts w:hint="eastAsia" w:ascii="仿宋" w:hAnsi="仿宋" w:eastAsia="仿宋"/>
                <w:spacing w:val="-4"/>
                <w:sz w:val="32"/>
                <w:szCs w:val="32"/>
              </w:rPr>
            </w:pPr>
            <w:r>
              <w:rPr>
                <w:rFonts w:hint="eastAsia" w:ascii="仿宋" w:hAnsi="仿宋" w:eastAsia="仿宋"/>
                <w:sz w:val="32"/>
                <w:szCs w:val="32"/>
              </w:rPr>
              <w:t>三等奖</w:t>
            </w:r>
          </w:p>
        </w:tc>
        <w:tc>
          <w:tcPr>
            <w:tcW w:w="2269" w:type="dxa"/>
          </w:tcPr>
          <w:p w14:paraId="763AD888">
            <w:pPr>
              <w:pStyle w:val="13"/>
              <w:spacing w:before="0" w:line="360" w:lineRule="auto"/>
              <w:ind w:left="0"/>
              <w:jc w:val="center"/>
              <w:rPr>
                <w:rFonts w:hint="eastAsia" w:ascii="仿宋" w:hAnsi="仿宋" w:eastAsia="仿宋"/>
                <w:spacing w:val="-10"/>
                <w:sz w:val="32"/>
                <w:szCs w:val="32"/>
              </w:rPr>
            </w:pPr>
            <w:r>
              <w:rPr>
                <w:rFonts w:hint="eastAsia" w:ascii="仿宋" w:hAnsi="仿宋" w:eastAsia="仿宋"/>
                <w:sz w:val="32"/>
                <w:szCs w:val="32"/>
              </w:rPr>
              <w:t>1</w:t>
            </w:r>
          </w:p>
        </w:tc>
      </w:tr>
    </w:tbl>
    <w:p w14:paraId="5D4C855D">
      <w:pPr>
        <w:pStyle w:val="4"/>
        <w:spacing w:line="360" w:lineRule="auto"/>
        <w:ind w:left="0"/>
        <w:jc w:val="both"/>
        <w:rPr>
          <w:rFonts w:hint="eastAsia" w:ascii="仿宋" w:hAnsi="仿宋" w:eastAsia="仿宋"/>
        </w:rPr>
      </w:pPr>
      <w:r>
        <w:rPr>
          <w:rFonts w:ascii="仿宋" w:hAnsi="仿宋" w:eastAsia="仿宋"/>
          <w:spacing w:val="-2"/>
        </w:rPr>
        <w:t>★团队获奖只统计排名前三获奖者，第二、第三排名分值分别按25%、15%计算，其它靠后的排名均不计算。</w:t>
      </w:r>
    </w:p>
    <w:p w14:paraId="5BA520EB">
      <w:pPr>
        <w:pStyle w:val="4"/>
        <w:spacing w:line="360" w:lineRule="auto"/>
        <w:ind w:left="0"/>
        <w:jc w:val="both"/>
        <w:rPr>
          <w:rFonts w:hint="eastAsia" w:ascii="仿宋" w:hAnsi="仿宋" w:eastAsia="仿宋"/>
        </w:rPr>
      </w:pPr>
      <w:r>
        <w:rPr>
          <w:rFonts w:ascii="仿宋" w:hAnsi="仿宋" w:eastAsia="仿宋"/>
          <w:spacing w:val="-2"/>
        </w:rPr>
        <w:t>★同一成果按最高级奖项计入，不重复计算；同类奖项按照最高获奖等级只计一次。</w:t>
      </w:r>
    </w:p>
    <w:p w14:paraId="68ECB2EE">
      <w:pPr>
        <w:pStyle w:val="4"/>
        <w:spacing w:line="360" w:lineRule="auto"/>
        <w:ind w:left="0"/>
        <w:jc w:val="both"/>
        <w:rPr>
          <w:rFonts w:hint="eastAsia" w:ascii="仿宋" w:hAnsi="仿宋" w:eastAsia="仿宋"/>
        </w:rPr>
      </w:pPr>
      <w:r>
        <w:rPr>
          <w:rFonts w:ascii="仿宋" w:hAnsi="仿宋" w:eastAsia="仿宋"/>
          <w:spacing w:val="-2"/>
        </w:rPr>
        <w:t>★科技竞赛类的级别遵照获奖证书中的主办单位为国际权威机构、国家部委或部委管理的局、国家部委下属的司局、省部级部门等进行认定，原则上只认定研究生重要的学术竞赛成果，其它奖项需经过评审委员会讨论。</w:t>
      </w:r>
    </w:p>
    <w:p w14:paraId="6131A018">
      <w:pPr>
        <w:pStyle w:val="4"/>
        <w:spacing w:line="360" w:lineRule="auto"/>
        <w:ind w:left="0"/>
        <w:jc w:val="both"/>
        <w:rPr>
          <w:rFonts w:hint="eastAsia" w:ascii="仿宋" w:hAnsi="仿宋" w:eastAsia="仿宋"/>
          <w:b/>
          <w:bCs/>
          <w:spacing w:val="-4"/>
        </w:rPr>
      </w:pPr>
      <w:r>
        <w:rPr>
          <w:rFonts w:ascii="仿宋" w:hAnsi="仿宋" w:eastAsia="仿宋"/>
          <w:b/>
          <w:bCs/>
          <w:spacing w:val="-4"/>
        </w:rPr>
        <w:t>（三）政治思想表现（此项总分为10分）</w:t>
      </w:r>
    </w:p>
    <w:p w14:paraId="241E11C2">
      <w:pPr>
        <w:pStyle w:val="4"/>
        <w:spacing w:line="360" w:lineRule="auto"/>
        <w:ind w:left="0"/>
        <w:jc w:val="both"/>
        <w:rPr>
          <w:rFonts w:hint="eastAsia" w:ascii="仿宋" w:hAnsi="仿宋" w:eastAsia="仿宋"/>
        </w:rPr>
      </w:pPr>
      <w:r>
        <w:rPr>
          <w:rFonts w:ascii="仿宋" w:hAnsi="仿宋" w:eastAsia="仿宋"/>
          <w:spacing w:val="-4"/>
        </w:rPr>
        <w:t>1、导师评价（A）（占20%）</w:t>
      </w:r>
    </w:p>
    <w:p w14:paraId="309C1652">
      <w:pPr>
        <w:pStyle w:val="4"/>
        <w:spacing w:line="360" w:lineRule="auto"/>
        <w:ind w:left="0" w:firstLine="640" w:firstLineChars="200"/>
        <w:jc w:val="both"/>
        <w:rPr>
          <w:rFonts w:hint="eastAsia" w:ascii="仿宋" w:hAnsi="仿宋" w:eastAsia="仿宋"/>
        </w:rPr>
      </w:pPr>
      <w:r>
        <w:rPr>
          <w:rFonts w:ascii="仿宋" w:hAnsi="仿宋" w:eastAsia="仿宋"/>
        </w:rPr>
        <w:t>拥护中国共产党的领导，热爱社会主义祖国，热爱人民，无违法违纪行为，在重大事件和关键时刻的表现符合社会</w:t>
      </w:r>
      <w:r>
        <w:rPr>
          <w:rFonts w:ascii="仿宋" w:hAnsi="仿宋" w:eastAsia="仿宋"/>
          <w:spacing w:val="-2"/>
        </w:rPr>
        <w:t>主义核心价值观（具有一票否决作用）。尊师重道、热爱科研，有组织纪律性，无学术不端行为，由导师评价给分，实行百分制。</w:t>
      </w:r>
    </w:p>
    <w:p w14:paraId="6F110F45">
      <w:pPr>
        <w:pStyle w:val="4"/>
        <w:spacing w:line="360" w:lineRule="auto"/>
        <w:ind w:left="0"/>
        <w:jc w:val="both"/>
        <w:rPr>
          <w:rFonts w:hint="eastAsia" w:ascii="仿宋" w:hAnsi="仿宋" w:eastAsia="仿宋"/>
        </w:rPr>
      </w:pPr>
      <w:r>
        <w:rPr>
          <w:rFonts w:ascii="仿宋" w:hAnsi="仿宋" w:eastAsia="仿宋"/>
          <w:spacing w:val="-4"/>
        </w:rPr>
        <w:t>2、党支部评价（B）（占20%）</w:t>
      </w:r>
    </w:p>
    <w:p w14:paraId="7C83AED7">
      <w:pPr>
        <w:pStyle w:val="4"/>
        <w:spacing w:line="360" w:lineRule="auto"/>
        <w:ind w:left="0" w:firstLine="632" w:firstLineChars="200"/>
        <w:jc w:val="both"/>
        <w:rPr>
          <w:rFonts w:hint="eastAsia" w:ascii="仿宋" w:hAnsi="仿宋" w:eastAsia="仿宋"/>
        </w:rPr>
      </w:pPr>
      <w:r>
        <w:rPr>
          <w:rFonts w:ascii="仿宋" w:hAnsi="仿宋" w:eastAsia="仿宋"/>
          <w:spacing w:val="-2"/>
        </w:rPr>
        <w:t>研究生党支部支委会根据研究生（含党员、团员、非团员）政治表现给予评价。政治表现评价具有一票否决权。此项实行百分制，占B项分值的2/3权重。</w:t>
      </w:r>
    </w:p>
    <w:p w14:paraId="64D3B67F">
      <w:pPr>
        <w:pStyle w:val="4"/>
        <w:spacing w:line="360" w:lineRule="auto"/>
        <w:ind w:left="0" w:firstLine="632" w:firstLineChars="200"/>
        <w:jc w:val="both"/>
        <w:rPr>
          <w:rFonts w:hint="eastAsia" w:ascii="仿宋" w:hAnsi="仿宋" w:eastAsia="仿宋"/>
        </w:rPr>
      </w:pPr>
      <w:r>
        <w:rPr>
          <w:rFonts w:ascii="仿宋" w:hAnsi="仿宋" w:eastAsia="仿宋"/>
          <w:spacing w:val="-2"/>
        </w:rPr>
        <w:t>研究生参加党支部（团支部）组织生活次数比率原则上需为</w:t>
      </w:r>
      <w:r>
        <w:rPr>
          <w:rFonts w:ascii="仿宋" w:hAnsi="仿宋" w:eastAsia="仿宋"/>
        </w:rPr>
        <w:t>100</w:t>
      </w:r>
      <w:r>
        <w:rPr>
          <w:rFonts w:ascii="仿宋" w:hAnsi="仿宋" w:eastAsia="仿宋"/>
          <w:spacing w:val="-1"/>
        </w:rPr>
        <w:t>%，特殊情况需向支部提出请假申请，无故不参加或未履行请</w:t>
      </w:r>
      <w:r>
        <w:rPr>
          <w:rFonts w:ascii="仿宋" w:hAnsi="仿宋" w:eastAsia="仿宋"/>
          <w:spacing w:val="9"/>
          <w:w w:val="99"/>
        </w:rPr>
        <w:t>假手续者该项不得分。此项实行百分制，具体分值=参加率</w:t>
      </w:r>
      <w:r>
        <w:rPr>
          <w:rFonts w:ascii="仿宋" w:hAnsi="仿宋" w:eastAsia="仿宋"/>
          <w:spacing w:val="1"/>
          <w:w w:val="99"/>
        </w:rPr>
        <w:t>*</w:t>
      </w:r>
      <w:r>
        <w:rPr>
          <w:rFonts w:ascii="仿宋" w:hAnsi="仿宋" w:eastAsia="仿宋"/>
          <w:spacing w:val="-2"/>
          <w:w w:val="99"/>
        </w:rPr>
        <w:t>1</w:t>
      </w:r>
      <w:r>
        <w:rPr>
          <w:rFonts w:ascii="仿宋" w:hAnsi="仿宋" w:eastAsia="仿宋"/>
          <w:w w:val="99"/>
        </w:rPr>
        <w:t>0</w:t>
      </w:r>
      <w:r>
        <w:rPr>
          <w:rFonts w:ascii="仿宋" w:hAnsi="仿宋" w:eastAsia="仿宋"/>
          <w:spacing w:val="8"/>
          <w:w w:val="99"/>
        </w:rPr>
        <w:t>0</w:t>
      </w:r>
      <w:r>
        <w:rPr>
          <w:rFonts w:ascii="仿宋" w:hAnsi="仿宋" w:eastAsia="仿宋"/>
          <w:w w:val="99"/>
        </w:rPr>
        <w:t>。</w:t>
      </w:r>
      <w:r>
        <w:rPr>
          <w:rFonts w:ascii="仿宋" w:hAnsi="仿宋" w:eastAsia="仿宋"/>
          <w:spacing w:val="10"/>
          <w:w w:val="99"/>
        </w:rPr>
        <w:t>其中参加率需≥</w:t>
      </w:r>
      <w:r>
        <w:rPr>
          <w:rFonts w:ascii="仿宋" w:hAnsi="仿宋" w:eastAsia="仿宋"/>
          <w:spacing w:val="1"/>
          <w:w w:val="99"/>
        </w:rPr>
        <w:t>80</w:t>
      </w:r>
      <w:r>
        <w:rPr>
          <w:rFonts w:ascii="仿宋" w:hAnsi="仿宋" w:eastAsia="仿宋"/>
          <w:spacing w:val="9"/>
          <w:w w:val="99"/>
        </w:rPr>
        <w:t>%，参加率低于</w:t>
      </w:r>
      <w:r>
        <w:rPr>
          <w:rFonts w:ascii="仿宋" w:hAnsi="仿宋" w:eastAsia="仿宋"/>
          <w:spacing w:val="1"/>
          <w:w w:val="99"/>
        </w:rPr>
        <w:t>80</w:t>
      </w:r>
      <w:r>
        <w:rPr>
          <w:rFonts w:ascii="仿宋" w:hAnsi="仿宋" w:eastAsia="仿宋"/>
          <w:spacing w:val="10"/>
          <w:w w:val="99"/>
        </w:rPr>
        <w:t>%</w:t>
      </w:r>
      <w:r>
        <w:rPr>
          <w:rFonts w:ascii="仿宋" w:hAnsi="仿宋" w:eastAsia="仿宋"/>
          <w:spacing w:val="11"/>
          <w:w w:val="99"/>
        </w:rPr>
        <w:t>（</w:t>
      </w:r>
      <w:r>
        <w:rPr>
          <w:rFonts w:ascii="仿宋" w:hAnsi="仿宋" w:eastAsia="仿宋"/>
          <w:spacing w:val="10"/>
          <w:w w:val="99"/>
        </w:rPr>
        <w:t>不含</w:t>
      </w:r>
      <w:r>
        <w:rPr>
          <w:rFonts w:ascii="仿宋" w:hAnsi="仿宋" w:eastAsia="仿宋"/>
          <w:spacing w:val="1"/>
          <w:w w:val="99"/>
        </w:rPr>
        <w:t>80</w:t>
      </w:r>
      <w:r>
        <w:rPr>
          <w:rFonts w:ascii="仿宋" w:hAnsi="仿宋" w:eastAsia="仿宋"/>
          <w:spacing w:val="8"/>
          <w:w w:val="99"/>
        </w:rPr>
        <w:t>%</w:t>
      </w:r>
      <w:r>
        <w:rPr>
          <w:rFonts w:ascii="仿宋" w:hAnsi="仿宋" w:eastAsia="仿宋"/>
          <w:spacing w:val="11"/>
          <w:w w:val="99"/>
        </w:rPr>
        <w:t>）</w:t>
      </w:r>
      <w:r>
        <w:rPr>
          <w:rFonts w:ascii="仿宋" w:hAnsi="仿宋" w:eastAsia="仿宋"/>
          <w:spacing w:val="8"/>
          <w:w w:val="99"/>
        </w:rPr>
        <w:t>不得分。此项</w:t>
      </w:r>
      <w:r>
        <w:rPr>
          <w:rFonts w:ascii="仿宋" w:hAnsi="仿宋" w:eastAsia="仿宋"/>
          <w:spacing w:val="1"/>
          <w:w w:val="99"/>
        </w:rPr>
        <w:t>分值占</w:t>
      </w:r>
      <w:r>
        <w:rPr>
          <w:rFonts w:ascii="仿宋" w:hAnsi="仿宋" w:eastAsia="仿宋"/>
          <w:spacing w:val="-2"/>
          <w:w w:val="99"/>
        </w:rPr>
        <w:t>B</w:t>
      </w:r>
      <w:r>
        <w:rPr>
          <w:rFonts w:ascii="仿宋" w:hAnsi="仿宋" w:eastAsia="仿宋"/>
          <w:w w:val="99"/>
        </w:rPr>
        <w:t>项分值的</w:t>
      </w:r>
      <w:r>
        <w:rPr>
          <w:rFonts w:ascii="仿宋" w:hAnsi="仿宋" w:eastAsia="仿宋"/>
          <w:spacing w:val="1"/>
          <w:w w:val="99"/>
        </w:rPr>
        <w:t>1/</w:t>
      </w:r>
      <w:r>
        <w:rPr>
          <w:rFonts w:ascii="仿宋" w:hAnsi="仿宋" w:eastAsia="仿宋"/>
          <w:spacing w:val="-2"/>
          <w:w w:val="99"/>
        </w:rPr>
        <w:t>3</w:t>
      </w:r>
      <w:r>
        <w:rPr>
          <w:rFonts w:ascii="仿宋" w:hAnsi="仿宋" w:eastAsia="仿宋"/>
          <w:w w:val="99"/>
        </w:rPr>
        <w:t>权重。</w:t>
      </w:r>
    </w:p>
    <w:p w14:paraId="290D0513">
      <w:pPr>
        <w:pStyle w:val="4"/>
        <w:spacing w:line="360" w:lineRule="auto"/>
        <w:ind w:left="0"/>
        <w:jc w:val="both"/>
        <w:rPr>
          <w:rFonts w:hint="eastAsia" w:ascii="仿宋" w:hAnsi="仿宋" w:eastAsia="仿宋"/>
        </w:rPr>
      </w:pPr>
      <w:r>
        <w:rPr>
          <w:rFonts w:ascii="仿宋" w:hAnsi="仿宋" w:eastAsia="仿宋"/>
          <w:spacing w:val="-4"/>
        </w:rPr>
        <w:t>3、综合表现方面（C）（占30%）</w:t>
      </w:r>
    </w:p>
    <w:p w14:paraId="738862B2">
      <w:pPr>
        <w:pStyle w:val="4"/>
        <w:spacing w:line="360" w:lineRule="auto"/>
        <w:ind w:left="0" w:firstLine="632" w:firstLineChars="200"/>
        <w:jc w:val="both"/>
        <w:rPr>
          <w:rFonts w:hint="eastAsia" w:ascii="仿宋" w:hAnsi="仿宋" w:eastAsia="仿宋"/>
        </w:rPr>
      </w:pPr>
      <w:r>
        <w:rPr>
          <w:rFonts w:ascii="仿宋" w:hAnsi="仿宋" w:eastAsia="仿宋"/>
          <w:spacing w:val="-2"/>
        </w:rPr>
        <w:t>获得非学术科研荣誉奖励需提供原件及复印件（如社会实践、</w:t>
      </w:r>
      <w:r>
        <w:rPr>
          <w:rFonts w:ascii="仿宋" w:hAnsi="仿宋" w:eastAsia="仿宋"/>
        </w:rPr>
        <w:t>志愿服务等优秀个人，优秀学生、优秀学生干部，优秀团员、</w:t>
      </w:r>
      <w:r>
        <w:rPr>
          <w:rFonts w:ascii="仿宋" w:hAnsi="仿宋" w:eastAsia="仿宋"/>
          <w:spacing w:val="-2"/>
        </w:rPr>
        <w:t>优秀团干、优秀共产党员等）。</w:t>
      </w:r>
    </w:p>
    <w:tbl>
      <w:tblPr>
        <w:tblStyle w:val="11"/>
        <w:tblW w:w="0" w:type="auto"/>
        <w:tblInd w:w="3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81"/>
        <w:gridCol w:w="2710"/>
      </w:tblGrid>
      <w:tr w14:paraId="0DEAF4C4">
        <w:trPr>
          <w:trHeight w:val="475" w:hRule="atLeast"/>
        </w:trPr>
        <w:tc>
          <w:tcPr>
            <w:tcW w:w="5281" w:type="dxa"/>
          </w:tcPr>
          <w:p w14:paraId="523F3ABA">
            <w:pPr>
              <w:pStyle w:val="13"/>
              <w:spacing w:before="0" w:line="360" w:lineRule="auto"/>
              <w:ind w:left="0"/>
              <w:jc w:val="center"/>
              <w:rPr>
                <w:rFonts w:hint="eastAsia" w:ascii="仿宋" w:hAnsi="仿宋" w:eastAsia="仿宋"/>
                <w:sz w:val="32"/>
                <w:szCs w:val="32"/>
              </w:rPr>
            </w:pPr>
            <w:r>
              <w:rPr>
                <w:rFonts w:ascii="仿宋" w:hAnsi="仿宋" w:eastAsia="仿宋"/>
                <w:spacing w:val="-2"/>
                <w:sz w:val="32"/>
                <w:szCs w:val="32"/>
              </w:rPr>
              <w:t>荣誉奖励级别</w:t>
            </w:r>
          </w:p>
        </w:tc>
        <w:tc>
          <w:tcPr>
            <w:tcW w:w="2710" w:type="dxa"/>
          </w:tcPr>
          <w:p w14:paraId="5EBCD958">
            <w:pPr>
              <w:pStyle w:val="13"/>
              <w:spacing w:before="0" w:line="360" w:lineRule="auto"/>
              <w:ind w:left="0"/>
              <w:jc w:val="center"/>
              <w:rPr>
                <w:rFonts w:hint="eastAsia" w:ascii="仿宋" w:hAnsi="仿宋" w:eastAsia="仿宋"/>
                <w:sz w:val="32"/>
                <w:szCs w:val="32"/>
              </w:rPr>
            </w:pPr>
            <w:r>
              <w:rPr>
                <w:rFonts w:ascii="仿宋" w:hAnsi="仿宋" w:eastAsia="仿宋"/>
                <w:spacing w:val="-3"/>
                <w:sz w:val="32"/>
                <w:szCs w:val="32"/>
              </w:rPr>
              <w:t>分值/项</w:t>
            </w:r>
          </w:p>
        </w:tc>
      </w:tr>
      <w:tr w14:paraId="38CA190E">
        <w:trPr>
          <w:trHeight w:val="472" w:hRule="atLeast"/>
        </w:trPr>
        <w:tc>
          <w:tcPr>
            <w:tcW w:w="5281" w:type="dxa"/>
          </w:tcPr>
          <w:p w14:paraId="09BCB6FB">
            <w:pPr>
              <w:pStyle w:val="13"/>
              <w:spacing w:before="0" w:line="360" w:lineRule="auto"/>
              <w:ind w:left="0"/>
              <w:jc w:val="center"/>
              <w:rPr>
                <w:rFonts w:hint="eastAsia" w:ascii="仿宋" w:hAnsi="仿宋" w:eastAsia="仿宋"/>
                <w:sz w:val="32"/>
                <w:szCs w:val="32"/>
              </w:rPr>
            </w:pPr>
            <w:r>
              <w:rPr>
                <w:rFonts w:ascii="仿宋" w:hAnsi="仿宋" w:eastAsia="仿宋"/>
                <w:spacing w:val="-2"/>
                <w:sz w:val="32"/>
                <w:szCs w:val="32"/>
              </w:rPr>
              <w:t>省部级及以上</w:t>
            </w:r>
          </w:p>
        </w:tc>
        <w:tc>
          <w:tcPr>
            <w:tcW w:w="2710" w:type="dxa"/>
          </w:tcPr>
          <w:p w14:paraId="27C4825E">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5</w:t>
            </w:r>
          </w:p>
        </w:tc>
      </w:tr>
      <w:tr w14:paraId="7115E7B7">
        <w:trPr>
          <w:trHeight w:val="472" w:hRule="atLeast"/>
        </w:trPr>
        <w:tc>
          <w:tcPr>
            <w:tcW w:w="5281" w:type="dxa"/>
          </w:tcPr>
          <w:p w14:paraId="3C2FFDCF">
            <w:pPr>
              <w:pStyle w:val="13"/>
              <w:spacing w:before="0" w:line="360" w:lineRule="auto"/>
              <w:ind w:left="0"/>
              <w:jc w:val="center"/>
              <w:rPr>
                <w:rFonts w:hint="eastAsia" w:ascii="仿宋" w:hAnsi="仿宋" w:eastAsia="仿宋"/>
                <w:sz w:val="32"/>
                <w:szCs w:val="32"/>
              </w:rPr>
            </w:pPr>
            <w:r>
              <w:rPr>
                <w:rFonts w:ascii="仿宋" w:hAnsi="仿宋" w:eastAsia="仿宋"/>
                <w:sz w:val="32"/>
                <w:szCs w:val="32"/>
              </w:rPr>
              <w:t>上海市级（司局级</w:t>
            </w:r>
            <w:r>
              <w:rPr>
                <w:rFonts w:ascii="仿宋" w:hAnsi="仿宋" w:eastAsia="仿宋"/>
                <w:spacing w:val="-10"/>
                <w:sz w:val="32"/>
                <w:szCs w:val="32"/>
              </w:rPr>
              <w:t>）</w:t>
            </w:r>
          </w:p>
        </w:tc>
        <w:tc>
          <w:tcPr>
            <w:tcW w:w="2710" w:type="dxa"/>
          </w:tcPr>
          <w:p w14:paraId="1828D23B">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3</w:t>
            </w:r>
          </w:p>
        </w:tc>
      </w:tr>
      <w:tr w14:paraId="3DD0EEFE">
        <w:trPr>
          <w:trHeight w:val="472" w:hRule="atLeast"/>
        </w:trPr>
        <w:tc>
          <w:tcPr>
            <w:tcW w:w="5281" w:type="dxa"/>
          </w:tcPr>
          <w:p w14:paraId="70673FDA">
            <w:pPr>
              <w:pStyle w:val="13"/>
              <w:spacing w:before="0" w:line="360" w:lineRule="auto"/>
              <w:ind w:left="0"/>
              <w:jc w:val="center"/>
              <w:rPr>
                <w:rFonts w:hint="eastAsia" w:ascii="仿宋" w:hAnsi="仿宋" w:eastAsia="仿宋"/>
                <w:sz w:val="32"/>
                <w:szCs w:val="32"/>
              </w:rPr>
            </w:pPr>
            <w:r>
              <w:rPr>
                <w:rFonts w:ascii="仿宋" w:hAnsi="仿宋" w:eastAsia="仿宋"/>
                <w:sz w:val="32"/>
                <w:szCs w:val="32"/>
              </w:rPr>
              <w:t>上海市（部门）级（县处级</w:t>
            </w:r>
            <w:r>
              <w:rPr>
                <w:rFonts w:ascii="仿宋" w:hAnsi="仿宋" w:eastAsia="仿宋"/>
                <w:spacing w:val="-10"/>
                <w:sz w:val="32"/>
                <w:szCs w:val="32"/>
              </w:rPr>
              <w:t>）</w:t>
            </w:r>
          </w:p>
        </w:tc>
        <w:tc>
          <w:tcPr>
            <w:tcW w:w="2710" w:type="dxa"/>
          </w:tcPr>
          <w:p w14:paraId="44098F72">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2</w:t>
            </w:r>
          </w:p>
        </w:tc>
      </w:tr>
      <w:tr w14:paraId="7444B156">
        <w:trPr>
          <w:trHeight w:val="472" w:hRule="atLeast"/>
        </w:trPr>
        <w:tc>
          <w:tcPr>
            <w:tcW w:w="5281" w:type="dxa"/>
          </w:tcPr>
          <w:p w14:paraId="136D534E">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校级</w:t>
            </w:r>
          </w:p>
        </w:tc>
        <w:tc>
          <w:tcPr>
            <w:tcW w:w="2710" w:type="dxa"/>
          </w:tcPr>
          <w:p w14:paraId="64218052">
            <w:pPr>
              <w:pStyle w:val="13"/>
              <w:spacing w:before="0" w:line="360" w:lineRule="auto"/>
              <w:ind w:left="0"/>
              <w:jc w:val="center"/>
              <w:rPr>
                <w:rFonts w:hint="eastAsia" w:ascii="仿宋" w:hAnsi="仿宋" w:eastAsia="仿宋"/>
                <w:sz w:val="32"/>
                <w:szCs w:val="32"/>
              </w:rPr>
            </w:pPr>
            <w:r>
              <w:rPr>
                <w:rFonts w:ascii="仿宋" w:hAnsi="仿宋" w:eastAsia="仿宋"/>
                <w:spacing w:val="-10"/>
                <w:sz w:val="32"/>
                <w:szCs w:val="32"/>
              </w:rPr>
              <w:t>1</w:t>
            </w:r>
          </w:p>
        </w:tc>
      </w:tr>
      <w:tr w14:paraId="009D6ABA">
        <w:trPr>
          <w:trHeight w:val="472" w:hRule="atLeast"/>
        </w:trPr>
        <w:tc>
          <w:tcPr>
            <w:tcW w:w="5281" w:type="dxa"/>
          </w:tcPr>
          <w:p w14:paraId="0A54317F">
            <w:pPr>
              <w:pStyle w:val="13"/>
              <w:spacing w:before="0" w:line="360" w:lineRule="auto"/>
              <w:ind w:left="0"/>
              <w:jc w:val="center"/>
              <w:rPr>
                <w:rFonts w:hint="eastAsia" w:ascii="仿宋" w:hAnsi="仿宋" w:eastAsia="仿宋"/>
                <w:sz w:val="32"/>
                <w:szCs w:val="32"/>
              </w:rPr>
            </w:pPr>
            <w:r>
              <w:rPr>
                <w:rFonts w:ascii="仿宋" w:hAnsi="仿宋" w:eastAsia="仿宋"/>
                <w:sz w:val="32"/>
                <w:szCs w:val="32"/>
              </w:rPr>
              <w:t>院级（学部界定</w:t>
            </w:r>
            <w:r>
              <w:rPr>
                <w:rFonts w:ascii="仿宋" w:hAnsi="仿宋" w:eastAsia="仿宋"/>
                <w:spacing w:val="-10"/>
                <w:sz w:val="32"/>
                <w:szCs w:val="32"/>
              </w:rPr>
              <w:t>）</w:t>
            </w:r>
          </w:p>
        </w:tc>
        <w:tc>
          <w:tcPr>
            <w:tcW w:w="2710" w:type="dxa"/>
          </w:tcPr>
          <w:p w14:paraId="5AFB9559">
            <w:pPr>
              <w:pStyle w:val="13"/>
              <w:spacing w:before="0" w:line="360" w:lineRule="auto"/>
              <w:ind w:left="0"/>
              <w:jc w:val="center"/>
              <w:rPr>
                <w:rFonts w:hint="eastAsia" w:ascii="仿宋" w:hAnsi="仿宋" w:eastAsia="仿宋"/>
                <w:sz w:val="32"/>
                <w:szCs w:val="32"/>
              </w:rPr>
            </w:pPr>
            <w:r>
              <w:rPr>
                <w:rFonts w:ascii="仿宋" w:hAnsi="仿宋" w:eastAsia="仿宋"/>
                <w:spacing w:val="-5"/>
                <w:sz w:val="32"/>
                <w:szCs w:val="32"/>
              </w:rPr>
              <w:t>0.5</w:t>
            </w:r>
          </w:p>
        </w:tc>
      </w:tr>
    </w:tbl>
    <w:p w14:paraId="32140A8F">
      <w:pPr>
        <w:pStyle w:val="4"/>
        <w:spacing w:line="360" w:lineRule="auto"/>
        <w:ind w:left="0"/>
        <w:jc w:val="both"/>
        <w:rPr>
          <w:rFonts w:hint="eastAsia" w:ascii="仿宋" w:hAnsi="仿宋" w:eastAsia="仿宋"/>
        </w:rPr>
      </w:pPr>
      <w:r>
        <w:rPr>
          <w:rFonts w:ascii="仿宋" w:hAnsi="仿宋" w:eastAsia="仿宋"/>
          <w:spacing w:val="-2"/>
        </w:rPr>
        <w:t>★该荣誉类获奖计分应区别于活动参与证明，如志愿者服务类证明证书不计入综合表现类，应当认定为社会工作参与情况；</w:t>
      </w:r>
    </w:p>
    <w:p w14:paraId="45E5D123">
      <w:pPr>
        <w:pStyle w:val="4"/>
        <w:spacing w:line="360" w:lineRule="auto"/>
        <w:ind w:left="0"/>
        <w:jc w:val="both"/>
        <w:rPr>
          <w:rFonts w:hint="eastAsia" w:ascii="仿宋" w:hAnsi="仿宋" w:eastAsia="仿宋"/>
        </w:rPr>
      </w:pPr>
      <w:r>
        <w:rPr>
          <w:rFonts w:ascii="仿宋" w:hAnsi="仿宋" w:eastAsia="仿宋"/>
          <w:spacing w:val="-2"/>
        </w:rPr>
        <w:t>★荣誉奖励级别鉴定参照《基础学部学生荣誉奖项目录》执</w:t>
      </w:r>
      <w:r>
        <w:rPr>
          <w:rFonts w:ascii="仿宋" w:hAnsi="仿宋" w:eastAsia="仿宋"/>
          <w:spacing w:val="-6"/>
        </w:rPr>
        <w:t>行。</w:t>
      </w:r>
    </w:p>
    <w:p w14:paraId="1C95121B">
      <w:pPr>
        <w:pStyle w:val="4"/>
        <w:spacing w:line="360" w:lineRule="auto"/>
        <w:ind w:left="0"/>
        <w:jc w:val="both"/>
        <w:rPr>
          <w:rFonts w:hint="eastAsia" w:ascii="仿宋" w:hAnsi="仿宋" w:eastAsia="仿宋"/>
        </w:rPr>
      </w:pPr>
      <w:r>
        <w:rPr>
          <w:rFonts w:ascii="仿宋" w:hAnsi="仿宋" w:eastAsia="仿宋"/>
          <w:spacing w:val="-2"/>
        </w:rPr>
        <w:t>★同一荣誉奖励不同级别的，按就高原则，仅对最高级别荣誉奖励进行加分。</w:t>
      </w:r>
    </w:p>
    <w:p w14:paraId="1DE464A3">
      <w:pPr>
        <w:pStyle w:val="4"/>
        <w:spacing w:line="360" w:lineRule="auto"/>
        <w:ind w:left="0"/>
        <w:jc w:val="both"/>
        <w:rPr>
          <w:rFonts w:hint="eastAsia" w:ascii="仿宋" w:hAnsi="仿宋" w:eastAsia="仿宋"/>
          <w:spacing w:val="-5"/>
        </w:rPr>
      </w:pPr>
      <w:r>
        <w:rPr>
          <w:rFonts w:ascii="仿宋" w:hAnsi="仿宋" w:eastAsia="仿宋"/>
          <w:spacing w:val="-5"/>
        </w:rPr>
        <w:t>★综合表现计分规则如下：</w:t>
      </w:r>
    </w:p>
    <w:p w14:paraId="6A97BDC3">
      <w:pPr>
        <w:pStyle w:val="4"/>
        <w:spacing w:line="360" w:lineRule="auto"/>
        <w:ind w:left="0" w:firstLine="640" w:firstLineChars="200"/>
        <w:jc w:val="both"/>
        <w:rPr>
          <w:rFonts w:hint="eastAsia" w:ascii="仿宋" w:hAnsi="仿宋" w:eastAsia="仿宋"/>
        </w:rPr>
      </w:pPr>
      <w:r>
        <w:rPr>
          <w:rStyle w:val="10"/>
          <w:rFonts w:ascii="仿宋" w:hAnsi="仿宋" w:eastAsia="仿宋" w:cs="Segoe UI"/>
          <w:b w:val="0"/>
          <w:bCs w:val="0"/>
          <w:color w:val="0F1115"/>
          <w:shd w:val="clear" w:color="auto" w:fill="FFFFFF"/>
        </w:rPr>
        <w:t>综合表现总分=</w:t>
      </w:r>
      <m:oMath>
        <m:f>
          <m:fPr>
            <m:ctrlPr>
              <w:rPr>
                <w:rFonts w:ascii="Cambria Math" w:hAnsi="Cambria Math" w:eastAsia="仿宋"/>
              </w:rPr>
            </m:ctrlPr>
          </m:fPr>
          <m:num>
            <m:r>
              <m:rPr/>
              <w:rPr>
                <w:rFonts w:ascii="Cambria Math" w:hAnsi="Cambria Math" w:eastAsia="仿宋"/>
              </w:rPr>
              <m:t>A</m:t>
            </m:r>
            <m:ctrlPr>
              <w:rPr>
                <w:rFonts w:ascii="Cambria Math" w:hAnsi="Cambria Math" w:eastAsia="仿宋"/>
              </w:rPr>
            </m:ctrlPr>
          </m:num>
          <m:den>
            <m:sSub>
              <m:sSubPr>
                <m:ctrlPr>
                  <w:rPr>
                    <w:rFonts w:ascii="Cambria Math" w:hAnsi="Cambria Math" w:eastAsia="仿宋"/>
                  </w:rPr>
                </m:ctrlPr>
              </m:sSubPr>
              <m:e>
                <m:r>
                  <m:rPr/>
                  <w:rPr>
                    <w:rFonts w:ascii="Cambria Math" w:hAnsi="Cambria Math" w:eastAsia="仿宋"/>
                  </w:rPr>
                  <m:t>A</m:t>
                </m:r>
                <m:ctrlPr>
                  <w:rPr>
                    <w:rFonts w:ascii="Cambria Math" w:hAnsi="Cambria Math" w:eastAsia="仿宋"/>
                  </w:rPr>
                </m:ctrlPr>
              </m:e>
              <m:sub>
                <m:r>
                  <m:rPr/>
                  <w:rPr>
                    <w:rFonts w:ascii="Cambria Math" w:hAnsi="Cambria Math" w:eastAsia="仿宋"/>
                  </w:rPr>
                  <m:t>max</m:t>
                </m:r>
                <m:ctrlPr>
                  <w:rPr>
                    <w:rFonts w:ascii="Cambria Math" w:hAnsi="Cambria Math" w:eastAsia="仿宋"/>
                  </w:rPr>
                </m:ctrlPr>
              </m:sub>
            </m:sSub>
            <m:ctrlPr>
              <w:rPr>
                <w:rFonts w:ascii="Cambria Math" w:hAnsi="Cambria Math" w:eastAsia="仿宋"/>
              </w:rPr>
            </m:ctrlPr>
          </m:den>
        </m:f>
        <m:r>
          <m:rPr/>
          <w:rPr>
            <w:rFonts w:ascii="Cambria Math" w:hAnsi="Cambria Math" w:eastAsia="仿宋"/>
          </w:rPr>
          <m:t>∗3</m:t>
        </m:r>
      </m:oMath>
    </w:p>
    <w:p w14:paraId="4BDD0C09">
      <w:pPr>
        <w:pStyle w:val="4"/>
        <w:spacing w:line="360" w:lineRule="auto"/>
        <w:ind w:left="0" w:firstLine="632" w:firstLineChars="200"/>
        <w:jc w:val="both"/>
        <w:rPr>
          <w:rFonts w:hint="eastAsia" w:ascii="仿宋" w:hAnsi="仿宋" w:eastAsia="仿宋"/>
        </w:rPr>
      </w:pPr>
      <w:r>
        <w:rPr>
          <w:rFonts w:ascii="仿宋" w:hAnsi="仿宋" w:eastAsia="仿宋"/>
          <w:spacing w:val="-2"/>
        </w:rPr>
        <w:t>计分方式采用归一法，其中A为个人综合表现分，Amax表示专业内该项总分最高者。</w:t>
      </w:r>
    </w:p>
    <w:p w14:paraId="7A2393FA">
      <w:pPr>
        <w:pStyle w:val="4"/>
        <w:spacing w:line="360" w:lineRule="auto"/>
        <w:ind w:left="0"/>
        <w:jc w:val="both"/>
        <w:rPr>
          <w:rFonts w:hint="eastAsia" w:ascii="仿宋" w:hAnsi="仿宋" w:eastAsia="仿宋"/>
        </w:rPr>
      </w:pPr>
      <w:r>
        <w:rPr>
          <w:rFonts w:ascii="仿宋" w:hAnsi="仿宋" w:eastAsia="仿宋"/>
          <w:spacing w:val="-4"/>
        </w:rPr>
        <w:t>4、社会工作方面（D）（占30%）</w:t>
      </w:r>
    </w:p>
    <w:p w14:paraId="1B242433">
      <w:pPr>
        <w:pStyle w:val="4"/>
        <w:spacing w:line="360" w:lineRule="auto"/>
        <w:ind w:left="0"/>
        <w:jc w:val="both"/>
        <w:rPr>
          <w:rFonts w:hint="eastAsia" w:ascii="仿宋" w:hAnsi="仿宋" w:eastAsia="仿宋"/>
        </w:rPr>
      </w:pPr>
      <w:r>
        <w:rPr>
          <w:rFonts w:ascii="仿宋" w:hAnsi="仿宋" w:eastAsia="仿宋"/>
          <w:spacing w:val="-4"/>
        </w:rPr>
        <w:t>★组织（或参与）学校、学</w:t>
      </w:r>
      <w:r>
        <w:rPr>
          <w:rFonts w:hint="eastAsia" w:ascii="仿宋" w:hAnsi="仿宋" w:eastAsia="仿宋"/>
          <w:spacing w:val="-4"/>
          <w:lang w:val="en-US" w:eastAsia="zh-CN"/>
        </w:rPr>
        <w:t>院（</w:t>
      </w:r>
      <w:r>
        <w:rPr>
          <w:rFonts w:ascii="仿宋" w:hAnsi="仿宋" w:eastAsia="仿宋"/>
          <w:spacing w:val="-4"/>
        </w:rPr>
        <w:t>部</w:t>
      </w:r>
      <w:r>
        <w:rPr>
          <w:rFonts w:hint="eastAsia" w:ascii="仿宋" w:hAnsi="仿宋" w:eastAsia="仿宋"/>
          <w:spacing w:val="-4"/>
          <w:lang w:val="en-US" w:eastAsia="zh-CN"/>
        </w:rPr>
        <w:t>）</w:t>
      </w:r>
      <w:r>
        <w:rPr>
          <w:rFonts w:ascii="仿宋" w:hAnsi="仿宋" w:eastAsia="仿宋"/>
          <w:spacing w:val="-4"/>
        </w:rPr>
        <w:t>、党团等研究生活动，校级2</w:t>
      </w:r>
      <w:r>
        <w:rPr>
          <w:rFonts w:ascii="仿宋" w:hAnsi="仿宋" w:eastAsia="仿宋"/>
          <w:spacing w:val="-10"/>
        </w:rPr>
        <w:t>分</w:t>
      </w:r>
      <w:r>
        <w:rPr>
          <w:rFonts w:ascii="仿宋" w:hAnsi="仿宋" w:eastAsia="仿宋"/>
          <w:spacing w:val="-4"/>
        </w:rPr>
        <w:t>（1分）/次，院级1分（0.5分）</w:t>
      </w:r>
      <w:r>
        <w:rPr>
          <w:rFonts w:ascii="仿宋" w:hAnsi="仿宋" w:eastAsia="仿宋"/>
          <w:spacing w:val="-7"/>
        </w:rPr>
        <w:t>/次。</w:t>
      </w:r>
    </w:p>
    <w:p w14:paraId="548D816F">
      <w:pPr>
        <w:pStyle w:val="4"/>
        <w:spacing w:line="360" w:lineRule="auto"/>
        <w:ind w:left="0"/>
        <w:jc w:val="both"/>
        <w:rPr>
          <w:rFonts w:hint="eastAsia" w:ascii="仿宋" w:hAnsi="仿宋" w:eastAsia="仿宋"/>
        </w:rPr>
      </w:pPr>
      <w:r>
        <w:rPr>
          <w:rFonts w:ascii="仿宋" w:hAnsi="仿宋" w:eastAsia="仿宋"/>
          <w:spacing w:val="-4"/>
        </w:rPr>
        <w:t>★参加学校无偿献血，加3</w:t>
      </w:r>
      <w:r>
        <w:rPr>
          <w:rFonts w:ascii="仿宋" w:hAnsi="仿宋" w:eastAsia="仿宋"/>
          <w:spacing w:val="-6"/>
        </w:rPr>
        <w:t>分/次。</w:t>
      </w:r>
    </w:p>
    <w:p w14:paraId="53AB4F0C">
      <w:pPr>
        <w:pStyle w:val="4"/>
        <w:spacing w:line="360" w:lineRule="auto"/>
        <w:ind w:left="0"/>
        <w:jc w:val="both"/>
        <w:rPr>
          <w:rFonts w:hint="eastAsia" w:ascii="仿宋" w:hAnsi="仿宋" w:eastAsia="仿宋"/>
        </w:rPr>
      </w:pPr>
      <w:r>
        <w:rPr>
          <w:rFonts w:ascii="仿宋" w:hAnsi="仿宋" w:eastAsia="仿宋"/>
          <w:spacing w:val="-5"/>
        </w:rPr>
        <w:t>★学生干部计分规则如下：</w:t>
      </w:r>
    </w:p>
    <w:p w14:paraId="6E046363">
      <w:pPr>
        <w:pStyle w:val="4"/>
        <w:spacing w:line="360" w:lineRule="auto"/>
        <w:ind w:left="0"/>
        <w:jc w:val="both"/>
        <w:rPr>
          <w:rFonts w:hint="eastAsia" w:ascii="仿宋" w:hAnsi="仿宋" w:eastAsia="仿宋"/>
        </w:rPr>
      </w:pPr>
      <w:r>
        <w:rPr>
          <w:rFonts w:ascii="仿宋" w:hAnsi="仿宋" w:eastAsia="仿宋"/>
          <w:spacing w:val="-2"/>
        </w:rPr>
        <w:t>①分团委副书记、研究生党支部书记（副书记）、校院研究</w:t>
      </w:r>
      <w:r>
        <w:rPr>
          <w:rFonts w:ascii="仿宋" w:hAnsi="仿宋" w:eastAsia="仿宋"/>
        </w:rPr>
        <w:t>生会主席团、年级负责人、兼职辅导员</w:t>
      </w:r>
      <w:r>
        <w:rPr>
          <w:rFonts w:hint="eastAsia" w:ascii="仿宋" w:hAnsi="仿宋" w:eastAsia="仿宋"/>
          <w:lang w:val="en-US" w:eastAsia="zh-CN"/>
        </w:rPr>
        <w:t xml:space="preserve"> </w:t>
      </w:r>
      <w:r>
        <w:rPr>
          <w:rFonts w:ascii="仿宋" w:hAnsi="仿宋" w:eastAsia="仿宋"/>
        </w:rPr>
        <w:t>5分。</w:t>
      </w:r>
    </w:p>
    <w:p w14:paraId="3965B99D">
      <w:pPr>
        <w:pStyle w:val="4"/>
        <w:spacing w:line="360" w:lineRule="auto"/>
        <w:ind w:left="0"/>
        <w:jc w:val="both"/>
        <w:rPr>
          <w:rFonts w:hint="eastAsia" w:ascii="仿宋" w:hAnsi="仿宋" w:eastAsia="仿宋"/>
        </w:rPr>
      </w:pPr>
      <w:r>
        <w:rPr>
          <w:rFonts w:ascii="仿宋" w:hAnsi="仿宋" w:eastAsia="仿宋"/>
          <w:spacing w:val="-2"/>
        </w:rPr>
        <w:t>②专业负责人（班长、团支书）、校院两级团学各部门部长和副部长、研究生党支部委员</w:t>
      </w:r>
      <w:r>
        <w:rPr>
          <w:rFonts w:hint="eastAsia" w:ascii="仿宋" w:hAnsi="仿宋" w:eastAsia="仿宋"/>
          <w:spacing w:val="-2"/>
          <w:lang w:val="en-US" w:eastAsia="zh-CN"/>
        </w:rPr>
        <w:t xml:space="preserve"> </w:t>
      </w:r>
      <w:r>
        <w:rPr>
          <w:rFonts w:ascii="仿宋" w:hAnsi="仿宋" w:eastAsia="仿宋"/>
          <w:spacing w:val="-2"/>
        </w:rPr>
        <w:t>3分。</w:t>
      </w:r>
    </w:p>
    <w:p w14:paraId="0E8E7E33">
      <w:pPr>
        <w:pStyle w:val="4"/>
        <w:spacing w:line="360" w:lineRule="auto"/>
        <w:ind w:left="0"/>
        <w:jc w:val="both"/>
        <w:rPr>
          <w:rFonts w:hint="eastAsia" w:ascii="仿宋" w:hAnsi="仿宋" w:eastAsia="仿宋"/>
        </w:rPr>
      </w:pPr>
      <w:r>
        <w:rPr>
          <w:rFonts w:ascii="仿宋" w:hAnsi="仿宋" w:eastAsia="仿宋"/>
          <w:spacing w:val="-2"/>
        </w:rPr>
        <w:t>③班委、团支部委员（包括副班长、学习委员、生活委员、体育委员、文艺委员、组织委员、宣传委员等），以及其他需要</w:t>
      </w:r>
      <w:r>
        <w:rPr>
          <w:rFonts w:ascii="仿宋" w:hAnsi="仿宋" w:eastAsia="仿宋"/>
        </w:rPr>
        <w:t>认定的学生干部0-2分。</w:t>
      </w:r>
    </w:p>
    <w:p w14:paraId="0B8C2CEB">
      <w:pPr>
        <w:pStyle w:val="4"/>
        <w:spacing w:line="360" w:lineRule="auto"/>
        <w:ind w:left="0"/>
        <w:jc w:val="both"/>
        <w:rPr>
          <w:rFonts w:hint="eastAsia" w:ascii="仿宋" w:hAnsi="仿宋" w:eastAsia="仿宋"/>
        </w:rPr>
      </w:pPr>
      <w:r>
        <w:rPr>
          <w:rFonts w:ascii="仿宋" w:hAnsi="仿宋" w:eastAsia="仿宋"/>
          <w:spacing w:val="-2"/>
        </w:rPr>
        <w:t>注：此项社会工作计量按每学年工作量，不同岗位可累计加分，不满一个学期的不计算，超过一学期不满两学期的按50%计分。</w:t>
      </w:r>
    </w:p>
    <w:p w14:paraId="1BA3E44D">
      <w:pPr>
        <w:pStyle w:val="4"/>
        <w:spacing w:line="360" w:lineRule="auto"/>
        <w:ind w:left="0"/>
        <w:jc w:val="both"/>
        <w:rPr>
          <w:rFonts w:hint="eastAsia" w:ascii="仿宋" w:hAnsi="仿宋" w:eastAsia="仿宋"/>
          <w:spacing w:val="-5"/>
        </w:rPr>
      </w:pPr>
      <w:r>
        <w:rPr>
          <w:rFonts w:ascii="仿宋" w:hAnsi="仿宋" w:eastAsia="仿宋"/>
          <w:spacing w:val="-5"/>
        </w:rPr>
        <w:t>★社会工作计分规则如下：</w:t>
      </w:r>
    </w:p>
    <w:p w14:paraId="2C95E21A">
      <w:pPr>
        <w:pStyle w:val="4"/>
        <w:spacing w:line="360" w:lineRule="auto"/>
        <w:ind w:left="0" w:firstLine="640" w:firstLineChars="200"/>
        <w:jc w:val="both"/>
        <w:rPr>
          <w:rFonts w:hint="eastAsia" w:ascii="仿宋" w:hAnsi="仿宋" w:eastAsia="仿宋"/>
        </w:rPr>
      </w:pPr>
      <w:r>
        <w:rPr>
          <w:rStyle w:val="10"/>
          <w:rFonts w:ascii="仿宋" w:hAnsi="仿宋" w:eastAsia="仿宋" w:cs="Segoe UI"/>
          <w:b w:val="0"/>
          <w:bCs w:val="0"/>
          <w:color w:val="0F1115"/>
          <w:shd w:val="clear" w:color="auto" w:fill="FFFFFF"/>
        </w:rPr>
        <w:t>社会工作总分=</w:t>
      </w:r>
      <m:oMath>
        <m:f>
          <m:fPr>
            <m:ctrlPr>
              <w:rPr>
                <w:rFonts w:ascii="Cambria Math" w:hAnsi="Cambria Math" w:eastAsia="仿宋"/>
              </w:rPr>
            </m:ctrlPr>
          </m:fPr>
          <m:num>
            <m:r>
              <m:rPr/>
              <w:rPr>
                <w:rFonts w:ascii="Cambria Math" w:hAnsi="Cambria Math" w:eastAsia="仿宋"/>
              </w:rPr>
              <m:t>A</m:t>
            </m:r>
            <m:ctrlPr>
              <w:rPr>
                <w:rFonts w:ascii="Cambria Math" w:hAnsi="Cambria Math" w:eastAsia="仿宋"/>
              </w:rPr>
            </m:ctrlPr>
          </m:num>
          <m:den>
            <m:sSub>
              <m:sSubPr>
                <m:ctrlPr>
                  <w:rPr>
                    <w:rFonts w:ascii="Cambria Math" w:hAnsi="Cambria Math" w:eastAsia="仿宋"/>
                  </w:rPr>
                </m:ctrlPr>
              </m:sSubPr>
              <m:e>
                <m:r>
                  <m:rPr/>
                  <w:rPr>
                    <w:rFonts w:ascii="Cambria Math" w:hAnsi="Cambria Math" w:eastAsia="仿宋"/>
                  </w:rPr>
                  <m:t>A</m:t>
                </m:r>
                <m:ctrlPr>
                  <w:rPr>
                    <w:rFonts w:ascii="Cambria Math" w:hAnsi="Cambria Math" w:eastAsia="仿宋"/>
                  </w:rPr>
                </m:ctrlPr>
              </m:e>
              <m:sub>
                <m:r>
                  <m:rPr/>
                  <w:rPr>
                    <w:rFonts w:ascii="Cambria Math" w:hAnsi="Cambria Math" w:eastAsia="仿宋"/>
                  </w:rPr>
                  <m:t>max</m:t>
                </m:r>
                <m:ctrlPr>
                  <w:rPr>
                    <w:rFonts w:ascii="Cambria Math" w:hAnsi="Cambria Math" w:eastAsia="仿宋"/>
                  </w:rPr>
                </m:ctrlPr>
              </m:sub>
            </m:sSub>
            <m:ctrlPr>
              <w:rPr>
                <w:rFonts w:ascii="Cambria Math" w:hAnsi="Cambria Math" w:eastAsia="仿宋"/>
              </w:rPr>
            </m:ctrlPr>
          </m:den>
        </m:f>
        <m:r>
          <m:rPr/>
          <w:rPr>
            <w:rFonts w:ascii="Cambria Math" w:hAnsi="Cambria Math" w:eastAsia="仿宋"/>
          </w:rPr>
          <m:t>∗3</m:t>
        </m:r>
      </m:oMath>
    </w:p>
    <w:p w14:paraId="6D729F04">
      <w:pPr>
        <w:pStyle w:val="4"/>
        <w:spacing w:line="360" w:lineRule="auto"/>
        <w:ind w:left="0" w:firstLine="632" w:firstLineChars="200"/>
        <w:jc w:val="both"/>
        <w:rPr>
          <w:rFonts w:hint="eastAsia" w:ascii="仿宋" w:hAnsi="仿宋" w:eastAsia="仿宋"/>
        </w:rPr>
      </w:pPr>
      <w:r>
        <w:rPr>
          <w:rFonts w:ascii="仿宋" w:hAnsi="仿宋" w:eastAsia="仿宋"/>
          <w:spacing w:val="-2"/>
        </w:rPr>
        <w:t>计分方式采用归一法，其中A为个人社会工作得分，Amax表示专业内该项总分最高者。</w:t>
      </w:r>
    </w:p>
    <w:p w14:paraId="614B5A2E">
      <w:pPr>
        <w:pStyle w:val="4"/>
        <w:spacing w:line="360" w:lineRule="auto"/>
        <w:ind w:left="0"/>
        <w:jc w:val="both"/>
        <w:rPr>
          <w:rFonts w:hint="eastAsia" w:ascii="仿宋" w:hAnsi="仿宋" w:eastAsia="仿宋"/>
        </w:rPr>
      </w:pPr>
      <w:r>
        <w:rPr>
          <w:rFonts w:ascii="仿宋" w:hAnsi="仿宋" w:eastAsia="仿宋"/>
          <w:spacing w:val="-4"/>
        </w:rPr>
        <w:t>5</w:t>
      </w:r>
      <w:r>
        <w:rPr>
          <w:rFonts w:ascii="仿宋" w:hAnsi="仿宋" w:eastAsia="仿宋"/>
          <w:spacing w:val="-5"/>
        </w:rPr>
        <w:t>、思想政治表现总分计算方式为：</w:t>
      </w:r>
    </w:p>
    <w:p w14:paraId="22CF8F1F">
      <w:pPr>
        <w:pStyle w:val="4"/>
        <w:spacing w:line="360" w:lineRule="auto"/>
        <w:ind w:left="0"/>
        <w:jc w:val="both"/>
        <w:rPr>
          <w:rFonts w:hint="eastAsia" w:ascii="仿宋" w:hAnsi="仿宋" w:eastAsia="仿宋"/>
        </w:rPr>
      </w:pPr>
      <w:r>
        <w:rPr>
          <w:rFonts w:ascii="仿宋" w:hAnsi="仿宋" w:eastAsia="仿宋"/>
          <w:spacing w:val="-4"/>
        </w:rPr>
        <w:t>思想政治表现总分=A+B+C+D（总分不超过10分）</w:t>
      </w:r>
      <w:r>
        <w:rPr>
          <w:rFonts w:ascii="仿宋" w:hAnsi="仿宋" w:eastAsia="仿宋"/>
          <w:spacing w:val="-10"/>
        </w:rPr>
        <w:t>。</w:t>
      </w:r>
    </w:p>
    <w:p w14:paraId="35B8E260">
      <w:pPr>
        <w:pStyle w:val="4"/>
        <w:spacing w:line="360" w:lineRule="auto"/>
        <w:ind w:left="0"/>
        <w:jc w:val="both"/>
        <w:rPr>
          <w:rFonts w:hint="eastAsia" w:ascii="仿宋" w:hAnsi="仿宋" w:eastAsia="仿宋"/>
          <w:b/>
          <w:bCs/>
          <w:spacing w:val="-2"/>
        </w:rPr>
      </w:pPr>
      <w:r>
        <w:rPr>
          <w:rFonts w:ascii="仿宋" w:hAnsi="仿宋" w:eastAsia="仿宋"/>
          <w:b/>
          <w:bCs/>
          <w:spacing w:val="-2"/>
        </w:rPr>
        <w:t>（四）答辩评审（此项总分为10分）</w:t>
      </w:r>
    </w:p>
    <w:p w14:paraId="4B37C7F9">
      <w:pPr>
        <w:pStyle w:val="4"/>
        <w:spacing w:line="360" w:lineRule="auto"/>
        <w:ind w:left="0" w:firstLine="632" w:firstLineChars="200"/>
        <w:jc w:val="both"/>
        <w:rPr>
          <w:rFonts w:hint="eastAsia" w:ascii="仿宋" w:hAnsi="仿宋" w:eastAsia="仿宋"/>
          <w:spacing w:val="-2"/>
        </w:rPr>
      </w:pPr>
      <w:r>
        <w:rPr>
          <w:rFonts w:ascii="仿宋" w:hAnsi="仿宋" w:eastAsia="仿宋"/>
          <w:spacing w:val="-2"/>
        </w:rPr>
        <w:t>由基础学部研究生国家奖学金评定委员会委员打分，确定最终研究生国家奖学金名单。</w:t>
      </w:r>
    </w:p>
    <w:p w14:paraId="56EDA789">
      <w:pPr>
        <w:pStyle w:val="2"/>
        <w:spacing w:before="0" w:line="360" w:lineRule="auto"/>
        <w:ind w:left="0" w:right="0"/>
        <w:jc w:val="both"/>
        <w:rPr>
          <w:rFonts w:hint="eastAsia" w:ascii="仿宋" w:hAnsi="仿宋" w:eastAsia="仿宋"/>
        </w:rPr>
      </w:pPr>
      <w:r>
        <w:rPr>
          <w:rFonts w:hint="eastAsia" w:ascii="仿宋" w:hAnsi="仿宋" w:eastAsia="仿宋"/>
        </w:rPr>
        <w:drawing>
          <wp:anchor distT="0" distB="0" distL="114300" distR="114300" simplePos="0" relativeHeight="251659264" behindDoc="0" locked="0" layoutInCell="1" allowOverlap="1">
            <wp:simplePos x="0" y="0"/>
            <wp:positionH relativeFrom="column">
              <wp:posOffset>668020</wp:posOffset>
            </wp:positionH>
            <wp:positionV relativeFrom="paragraph">
              <wp:posOffset>419100</wp:posOffset>
            </wp:positionV>
            <wp:extent cx="4381500" cy="4978400"/>
            <wp:effectExtent l="0" t="0" r="19050" b="31750"/>
            <wp:wrapTopAndBottom/>
            <wp:docPr id="45424333" name="图示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anchor>
        </w:drawing>
      </w:r>
      <w:r>
        <w:rPr>
          <w:rFonts w:hint="eastAsia" w:ascii="仿宋" w:hAnsi="仿宋" w:eastAsia="仿宋"/>
        </w:rPr>
        <w:t>五、评审步骤</w:t>
      </w:r>
    </w:p>
    <w:p w14:paraId="5CFF9AE1">
      <w:pPr>
        <w:pStyle w:val="4"/>
        <w:spacing w:line="360" w:lineRule="auto"/>
        <w:ind w:left="0"/>
        <w:jc w:val="both"/>
        <w:rPr>
          <w:rFonts w:hint="eastAsia" w:ascii="仿宋" w:hAnsi="仿宋" w:eastAsia="仿宋"/>
        </w:rPr>
      </w:pPr>
    </w:p>
    <w:p w14:paraId="1DDF555F">
      <w:pPr>
        <w:pStyle w:val="2"/>
        <w:spacing w:before="0" w:line="360" w:lineRule="auto"/>
        <w:ind w:left="0" w:right="0"/>
        <w:jc w:val="both"/>
        <w:rPr>
          <w:rFonts w:hint="eastAsia" w:ascii="仿宋" w:hAnsi="仿宋" w:eastAsia="仿宋"/>
        </w:rPr>
      </w:pPr>
      <w:r>
        <w:rPr>
          <w:rFonts w:ascii="仿宋" w:hAnsi="仿宋" w:eastAsia="仿宋"/>
        </w:rPr>
        <w:t>六、公示与申诉</w:t>
      </w:r>
    </w:p>
    <w:p w14:paraId="1BDAD509">
      <w:pPr>
        <w:pStyle w:val="4"/>
        <w:spacing w:line="360" w:lineRule="auto"/>
        <w:ind w:left="0" w:firstLine="620" w:firstLineChars="200"/>
        <w:jc w:val="both"/>
        <w:rPr>
          <w:rFonts w:hint="eastAsia" w:ascii="仿宋" w:hAnsi="仿宋" w:eastAsia="仿宋"/>
        </w:rPr>
      </w:pPr>
      <w:r>
        <w:rPr>
          <w:rFonts w:ascii="仿宋" w:hAnsi="仿宋" w:eastAsia="仿宋"/>
          <w:spacing w:val="-5"/>
        </w:rPr>
        <w:t>基础学部研究生国家奖学金的评定严格实行公示制度，基础学部</w:t>
      </w:r>
    </w:p>
    <w:p w14:paraId="352B8499">
      <w:pPr>
        <w:pStyle w:val="4"/>
        <w:spacing w:line="360" w:lineRule="auto"/>
        <w:ind w:left="0" w:firstLine="632" w:firstLineChars="200"/>
        <w:jc w:val="both"/>
        <w:rPr>
          <w:rFonts w:hint="eastAsia" w:ascii="仿宋" w:hAnsi="仿宋" w:eastAsia="仿宋"/>
        </w:rPr>
      </w:pPr>
      <w:r>
        <w:rPr>
          <w:rFonts w:ascii="仿宋" w:hAnsi="仿宋" w:eastAsia="仿宋"/>
          <w:spacing w:val="-2"/>
        </w:rPr>
        <w:t>研究生国家奖学金评审委员会将评定结果向全体研究生公示（不少于5个工作日），接受监督。</w:t>
      </w:r>
    </w:p>
    <w:p w14:paraId="618AC29D">
      <w:pPr>
        <w:pStyle w:val="4"/>
        <w:spacing w:line="360" w:lineRule="auto"/>
        <w:ind w:left="0" w:firstLine="632" w:firstLineChars="200"/>
        <w:jc w:val="both"/>
        <w:rPr>
          <w:rFonts w:hint="eastAsia" w:ascii="仿宋" w:hAnsi="仿宋" w:eastAsia="仿宋"/>
        </w:rPr>
      </w:pPr>
      <w:r>
        <w:rPr>
          <w:rFonts w:ascii="仿宋" w:hAnsi="仿宋" w:eastAsia="仿宋"/>
          <w:spacing w:val="-2"/>
        </w:rPr>
        <w:t>在学部公示阶段，对基础学部研究生国家奖学金评审结果及相关申请材料有异议者，可在公示期内，以书面形式向学部提出申诉，学部在10个工作日内做出答复。如果情况较为复杂，可适当延期答复，且必须预先通知研究生。如对答复仍存在异议，可向校评审领导小组提请裁决，由校评审领导小组根据有关规定处</w:t>
      </w:r>
      <w:r>
        <w:rPr>
          <w:rFonts w:ascii="仿宋" w:hAnsi="仿宋" w:eastAsia="仿宋"/>
          <w:spacing w:val="-6"/>
        </w:rPr>
        <w:t>理。</w:t>
      </w:r>
    </w:p>
    <w:p w14:paraId="3543685D">
      <w:pPr>
        <w:pStyle w:val="2"/>
        <w:spacing w:before="0" w:line="360" w:lineRule="auto"/>
        <w:ind w:left="0" w:right="0"/>
        <w:jc w:val="both"/>
        <w:rPr>
          <w:rFonts w:hint="eastAsia" w:ascii="仿宋" w:hAnsi="仿宋" w:eastAsia="仿宋"/>
        </w:rPr>
      </w:pPr>
      <w:r>
        <w:rPr>
          <w:rFonts w:ascii="仿宋" w:hAnsi="仿宋" w:eastAsia="仿宋"/>
        </w:rPr>
        <w:t>七、其它</w:t>
      </w:r>
    </w:p>
    <w:p w14:paraId="0C1177A8">
      <w:pPr>
        <w:pStyle w:val="2"/>
        <w:spacing w:before="0" w:line="360" w:lineRule="auto"/>
        <w:ind w:left="0" w:right="0" w:firstLine="624" w:firstLineChars="200"/>
        <w:jc w:val="both"/>
        <w:rPr>
          <w:rFonts w:hint="eastAsia" w:ascii="仿宋" w:hAnsi="仿宋" w:eastAsia="仿宋"/>
          <w:b w:val="0"/>
          <w:bCs w:val="0"/>
        </w:rPr>
      </w:pPr>
      <w:r>
        <w:rPr>
          <w:rFonts w:ascii="仿宋" w:hAnsi="仿宋" w:eastAsia="仿宋"/>
          <w:b w:val="0"/>
          <w:bCs w:val="0"/>
        </w:rPr>
        <w:t>本细则从202</w:t>
      </w:r>
      <w:r>
        <w:rPr>
          <w:rFonts w:hint="eastAsia" w:ascii="仿宋" w:hAnsi="仿宋" w:eastAsia="仿宋"/>
          <w:b w:val="0"/>
          <w:bCs w:val="0"/>
        </w:rPr>
        <w:t>6</w:t>
      </w:r>
      <w:r>
        <w:rPr>
          <w:rFonts w:ascii="仿宋" w:hAnsi="仿宋" w:eastAsia="仿宋"/>
          <w:b w:val="0"/>
          <w:bCs w:val="0"/>
        </w:rPr>
        <w:t>年开始试行，原</w:t>
      </w:r>
      <w:r>
        <w:rPr>
          <w:rFonts w:ascii="仿宋" w:hAnsi="仿宋" w:eastAsia="仿宋"/>
          <w:color w:val="EE0000"/>
        </w:rPr>
        <w:t>上理工理[2018]16</w:t>
      </w:r>
      <w:r>
        <w:rPr>
          <w:rFonts w:ascii="仿宋" w:hAnsi="仿宋" w:eastAsia="仿宋"/>
          <w:color w:val="EE0000"/>
          <w:spacing w:val="-7"/>
        </w:rPr>
        <w:t>号</w:t>
      </w:r>
      <w:r>
        <w:rPr>
          <w:rFonts w:ascii="仿宋" w:hAnsi="仿宋" w:eastAsia="仿宋"/>
          <w:b w:val="0"/>
          <w:bCs w:val="0"/>
          <w:spacing w:val="-7"/>
        </w:rPr>
        <w:t>“上</w:t>
      </w:r>
      <w:r>
        <w:rPr>
          <w:rFonts w:ascii="仿宋" w:hAnsi="仿宋" w:eastAsia="仿宋"/>
          <w:b w:val="0"/>
          <w:bCs w:val="0"/>
          <w:spacing w:val="-2"/>
        </w:rPr>
        <w:t>海理工大学基础学部研究生国家奖学金评选细则（试行）”同时废</w:t>
      </w:r>
      <w:r>
        <w:rPr>
          <w:rFonts w:ascii="仿宋" w:hAnsi="仿宋" w:eastAsia="仿宋"/>
          <w:b w:val="0"/>
          <w:bCs w:val="0"/>
          <w:spacing w:val="-6"/>
        </w:rPr>
        <w:t>止。</w:t>
      </w:r>
    </w:p>
    <w:p w14:paraId="022FDF03">
      <w:pPr>
        <w:pStyle w:val="4"/>
        <w:spacing w:line="360" w:lineRule="auto"/>
        <w:ind w:left="0" w:firstLine="632" w:firstLineChars="200"/>
        <w:jc w:val="both"/>
        <w:rPr>
          <w:rFonts w:hint="eastAsia" w:ascii="仿宋" w:hAnsi="仿宋" w:eastAsia="仿宋"/>
        </w:rPr>
      </w:pPr>
      <w:r>
        <w:rPr>
          <w:rFonts w:ascii="仿宋" w:hAnsi="仿宋" w:eastAsia="仿宋"/>
          <w:spacing w:val="-2"/>
        </w:rPr>
        <w:t>本细则最终解释权由基础学部国家奖学金评审委员会所</w:t>
      </w:r>
      <w:r>
        <w:rPr>
          <w:rFonts w:ascii="仿宋" w:hAnsi="仿宋" w:eastAsia="仿宋"/>
          <w:spacing w:val="-6"/>
        </w:rPr>
        <w:t>有。</w:t>
      </w:r>
    </w:p>
    <w:p w14:paraId="018B24A0">
      <w:pPr>
        <w:pStyle w:val="4"/>
        <w:spacing w:line="360" w:lineRule="auto"/>
        <w:ind w:left="0"/>
        <w:jc w:val="both"/>
        <w:rPr>
          <w:rFonts w:hint="eastAsia" w:ascii="仿宋" w:hAnsi="仿宋" w:eastAsia="仿宋"/>
        </w:rPr>
      </w:pPr>
    </w:p>
    <w:p w14:paraId="6660C339">
      <w:pPr>
        <w:pStyle w:val="4"/>
        <w:spacing w:line="360" w:lineRule="auto"/>
        <w:ind w:left="0"/>
        <w:jc w:val="right"/>
        <w:rPr>
          <w:rFonts w:hint="eastAsia" w:ascii="仿宋" w:hAnsi="仿宋" w:eastAsia="仿宋"/>
          <w:spacing w:val="-4"/>
        </w:rPr>
      </w:pPr>
      <w:r>
        <w:rPr>
          <w:rFonts w:ascii="仿宋" w:hAnsi="仿宋" w:eastAsia="仿宋"/>
          <w:spacing w:val="-4"/>
        </w:rPr>
        <w:t>基础学部</w:t>
      </w:r>
    </w:p>
    <w:p w14:paraId="5208B9E2">
      <w:pPr>
        <w:pStyle w:val="4"/>
        <w:spacing w:line="360" w:lineRule="auto"/>
        <w:ind w:left="0"/>
        <w:jc w:val="right"/>
        <w:rPr>
          <w:rFonts w:hint="eastAsia" w:ascii="仿宋" w:hAnsi="仿宋" w:eastAsia="仿宋"/>
        </w:rPr>
      </w:pPr>
      <w:r>
        <w:rPr>
          <w:rFonts w:ascii="仿宋" w:hAnsi="仿宋" w:eastAsia="仿宋"/>
          <w:spacing w:val="-2"/>
        </w:rPr>
        <w:t>202</w:t>
      </w:r>
      <w:r>
        <w:rPr>
          <w:rFonts w:hint="eastAsia" w:ascii="仿宋" w:hAnsi="仿宋" w:eastAsia="仿宋"/>
          <w:spacing w:val="-2"/>
        </w:rPr>
        <w:t>6</w:t>
      </w:r>
      <w:r>
        <w:rPr>
          <w:rFonts w:ascii="仿宋" w:hAnsi="仿宋" w:eastAsia="仿宋"/>
          <w:spacing w:val="-54"/>
        </w:rPr>
        <w:t>年</w:t>
      </w:r>
      <w:r>
        <w:rPr>
          <w:rFonts w:hint="eastAsia" w:ascii="仿宋" w:hAnsi="仿宋" w:eastAsia="仿宋"/>
          <w:spacing w:val="-2"/>
        </w:rPr>
        <w:t>7</w:t>
      </w:r>
      <w:r>
        <w:rPr>
          <w:rFonts w:ascii="仿宋" w:hAnsi="仿宋" w:eastAsia="仿宋"/>
          <w:spacing w:val="-54"/>
        </w:rPr>
        <w:t>月</w:t>
      </w:r>
      <w:r>
        <w:rPr>
          <w:rFonts w:ascii="仿宋" w:hAnsi="仿宋" w:eastAsia="仿宋"/>
          <w:spacing w:val="-2"/>
        </w:rPr>
        <w:t>1</w:t>
      </w:r>
      <w:r>
        <w:rPr>
          <w:rFonts w:hint="eastAsia" w:ascii="仿宋" w:hAnsi="仿宋" w:eastAsia="仿宋"/>
          <w:spacing w:val="-2"/>
        </w:rPr>
        <w:t>0</w:t>
      </w:r>
      <w:r>
        <w:rPr>
          <w:rFonts w:ascii="仿宋" w:hAnsi="仿宋" w:eastAsia="仿宋"/>
          <w:spacing w:val="-47"/>
        </w:rPr>
        <w:t>日</w:t>
      </w:r>
    </w:p>
    <w:p w14:paraId="5E6957F8">
      <w:pPr>
        <w:pStyle w:val="2"/>
        <w:spacing w:before="0" w:line="360" w:lineRule="auto"/>
        <w:ind w:left="0" w:right="0"/>
        <w:jc w:val="both"/>
        <w:rPr>
          <w:rFonts w:hint="eastAsia" w:ascii="仿宋" w:hAnsi="仿宋" w:eastAsia="仿宋"/>
        </w:rPr>
      </w:pPr>
    </w:p>
    <w:sectPr>
      <w:pgSz w:w="11900" w:h="16850"/>
      <w:pgMar w:top="2098" w:right="1474" w:bottom="1985" w:left="158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JhengHei">
    <w:altName w:val="汉仪中简黑简"/>
    <w:panose1 w:val="020B0604030504040204"/>
    <w:charset w:val="88"/>
    <w:family w:val="swiss"/>
    <w:pitch w:val="default"/>
    <w:sig w:usb0="00000000" w:usb1="00000000" w:usb2="00000016" w:usb3="00000000" w:csb0="00100009" w:csb1="00000000"/>
  </w:font>
  <w:font w:name="Cambria">
    <w:altName w:val="苹方-简"/>
    <w:panose1 w:val="02040503050406030204"/>
    <w:charset w:val="00"/>
    <w:family w:val="roman"/>
    <w:pitch w:val="default"/>
    <w:sig w:usb0="00000000" w:usb1="00000000" w:usb2="02000000" w:usb3="00000000" w:csb0="2000019F" w:csb1="00000000"/>
  </w:font>
  <w:font w:name="Microsoft YaHei UI">
    <w:altName w:val="苹方-简"/>
    <w:panose1 w:val="020B0503020204020204"/>
    <w:charset w:val="86"/>
    <w:family w:val="swiss"/>
    <w:pitch w:val="default"/>
    <w:sig w:usb0="00000000" w:usb1="00000000" w:usb2="00000016" w:usb3="00000000" w:csb0="0004001F" w:csb1="00000000"/>
  </w:font>
  <w:font w:name="方正小标宋_GBK">
    <w:altName w:val="汉仪书宋二KW"/>
    <w:panose1 w:val="00000000000000000000"/>
    <w:charset w:val="86"/>
    <w:family w:val="script"/>
    <w:pitch w:val="default"/>
    <w:sig w:usb0="00000000" w:usb1="00000000" w:usb2="00000010" w:usb3="00000000" w:csb0="00040001" w:csb1="00000000"/>
  </w:font>
  <w:font w:name="微软雅黑">
    <w:altName w:val="汉仪旗黑"/>
    <w:panose1 w:val="020B0503020204020204"/>
    <w:charset w:val="86"/>
    <w:family w:val="auto"/>
    <w:pitch w:val="default"/>
    <w:sig w:usb0="00000000" w:usb1="00000000" w:usb2="00000016" w:usb3="00000000" w:csb0="0004001F" w:csb1="00000000"/>
  </w:font>
  <w:font w:name="仿宋">
    <w:altName w:val="仿宋-简"/>
    <w:panose1 w:val="02010609060101010101"/>
    <w:charset w:val="86"/>
    <w:family w:val="modern"/>
    <w:pitch w:val="default"/>
    <w:sig w:usb0="00000000" w:usb1="00000000" w:usb2="00000016" w:usb3="00000000" w:csb0="00040001" w:csb1="00000000"/>
  </w:font>
  <w:font w:name="Segoe UI">
    <w:altName w:val="苹方-简"/>
    <w:panose1 w:val="020B0502040204020203"/>
    <w:charset w:val="00"/>
    <w:family w:val="swiss"/>
    <w:pitch w:val="default"/>
    <w:sig w:usb0="00000000" w:usb1="00000000" w:usb2="00000009" w:usb3="00000000" w:csb0="200001FF" w:csb1="00000000"/>
  </w:font>
  <w:font w:name="Cambria Math">
    <w:altName w:val="Kingsoft Math"/>
    <w:panose1 w:val="02040503050406030204"/>
    <w:charset w:val="00"/>
    <w:family w:val="roman"/>
    <w:pitch w:val="default"/>
    <w:sig w:usb0="00000000" w:usb1="00000000" w:usb2="02000000" w:usb3="00000000" w:csb0="2000019F" w:csb1="00000000"/>
  </w:font>
  <w:font w:name="汉仪书宋二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Kingsoft Math">
    <w:panose1 w:val="02040503050406030204"/>
    <w:charset w:val="00"/>
    <w:family w:val="auto"/>
    <w:pitch w:val="default"/>
    <w:sig w:usb0="80000087" w:usb1="00002068"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中简黑简">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doNotDisplayPageBoundaries w:val="1"/>
  <w:bordersDoNotSurroundHeader w:val="1"/>
  <w:bordersDoNotSurroundFooter w:val="1"/>
  <w:hideSpellingErrors/>
  <w:hideGrammaticalErrors/>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92552E"/>
    <w:rsid w:val="00001474"/>
    <w:rsid w:val="000E573B"/>
    <w:rsid w:val="00211185"/>
    <w:rsid w:val="00295A10"/>
    <w:rsid w:val="002A0576"/>
    <w:rsid w:val="002B1981"/>
    <w:rsid w:val="002F0E60"/>
    <w:rsid w:val="003912ED"/>
    <w:rsid w:val="003D5667"/>
    <w:rsid w:val="003F1332"/>
    <w:rsid w:val="00436459"/>
    <w:rsid w:val="004A5D15"/>
    <w:rsid w:val="004B26E3"/>
    <w:rsid w:val="00555989"/>
    <w:rsid w:val="005D3B36"/>
    <w:rsid w:val="00643FD1"/>
    <w:rsid w:val="006460E0"/>
    <w:rsid w:val="006B40A7"/>
    <w:rsid w:val="00734317"/>
    <w:rsid w:val="0074300C"/>
    <w:rsid w:val="00776813"/>
    <w:rsid w:val="00791587"/>
    <w:rsid w:val="00792EAE"/>
    <w:rsid w:val="0092552E"/>
    <w:rsid w:val="00944D9F"/>
    <w:rsid w:val="00987492"/>
    <w:rsid w:val="00AA2C64"/>
    <w:rsid w:val="00AD5382"/>
    <w:rsid w:val="00B11D96"/>
    <w:rsid w:val="00BB3C76"/>
    <w:rsid w:val="00BE0019"/>
    <w:rsid w:val="00CF11BA"/>
    <w:rsid w:val="00CF459F"/>
    <w:rsid w:val="00D24FC7"/>
    <w:rsid w:val="00DB4065"/>
    <w:rsid w:val="00DC20BC"/>
    <w:rsid w:val="00DF22E5"/>
    <w:rsid w:val="00E10D2F"/>
    <w:rsid w:val="00E82661"/>
    <w:rsid w:val="00EC4106"/>
    <w:rsid w:val="00EC6461"/>
    <w:rsid w:val="00EE61C8"/>
    <w:rsid w:val="00F439D6"/>
    <w:rsid w:val="3BDF87BB"/>
    <w:rsid w:val="657D2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9"/>
    <w:pPr>
      <w:spacing w:before="139" w:line="563" w:lineRule="exact"/>
      <w:ind w:left="424" w:right="638"/>
      <w:jc w:val="center"/>
      <w:outlineLvl w:val="0"/>
    </w:pPr>
    <w:rPr>
      <w:rFonts w:ascii="Microsoft JhengHei" w:hAnsi="Microsoft JhengHei" w:eastAsia="黑体" w:cs="Microsoft JhengHei"/>
      <w:b/>
      <w:bCs/>
      <w:spacing w:val="-4"/>
      <w:sz w:val="32"/>
      <w:szCs w:val="32"/>
    </w:rPr>
  </w:style>
  <w:style w:type="paragraph" w:styleId="3">
    <w:name w:val="heading 2"/>
    <w:basedOn w:val="1"/>
    <w:next w:val="1"/>
    <w:link w:val="14"/>
    <w:unhideWhenUsed/>
    <w:qFormat/>
    <w:uiPriority w:val="9"/>
    <w:pPr>
      <w:keepNext/>
      <w:keepLines/>
      <w:spacing w:before="100" w:beforeLines="100" w:after="100" w:afterLines="100"/>
      <w:ind w:firstLine="200" w:firstLineChars="200"/>
      <w:outlineLvl w:val="1"/>
    </w:pPr>
    <w:rPr>
      <w:rFonts w:asciiTheme="majorHAnsi" w:hAnsiTheme="majorHAnsi" w:eastAsiaTheme="minorEastAsia" w:cstheme="majorBid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1"/>
    </w:pPr>
    <w:rPr>
      <w:sz w:val="32"/>
      <w:szCs w:val="32"/>
    </w:rPr>
  </w:style>
  <w:style w:type="paragraph" w:styleId="5">
    <w:name w:val="footer"/>
    <w:basedOn w:val="1"/>
    <w:link w:val="16"/>
    <w:unhideWhenUsed/>
    <w:qFormat/>
    <w:uiPriority w:val="99"/>
    <w:pPr>
      <w:tabs>
        <w:tab w:val="center" w:pos="4153"/>
        <w:tab w:val="right" w:pos="8306"/>
      </w:tabs>
      <w:snapToGrid w:val="0"/>
    </w:pPr>
    <w:rPr>
      <w:sz w:val="18"/>
      <w:szCs w:val="18"/>
    </w:rPr>
  </w:style>
  <w:style w:type="paragraph" w:styleId="6">
    <w:name w:val="header"/>
    <w:basedOn w:val="1"/>
    <w:link w:val="15"/>
    <w:unhideWhenUsed/>
    <w:qFormat/>
    <w:uiPriority w:val="99"/>
    <w:pPr>
      <w:tabs>
        <w:tab w:val="center" w:pos="4153"/>
        <w:tab w:val="right" w:pos="8306"/>
      </w:tabs>
      <w:snapToGrid w:val="0"/>
      <w:jc w:val="center"/>
    </w:pPr>
    <w:rPr>
      <w:sz w:val="18"/>
      <w:szCs w:val="18"/>
    </w:rPr>
  </w:style>
  <w:style w:type="paragraph" w:styleId="7">
    <w:name w:val="Title"/>
    <w:basedOn w:val="1"/>
    <w:qFormat/>
    <w:uiPriority w:val="10"/>
    <w:pPr>
      <w:spacing w:line="1182" w:lineRule="exact"/>
      <w:ind w:left="424" w:right="644"/>
      <w:jc w:val="center"/>
    </w:pPr>
    <w:rPr>
      <w:rFonts w:ascii="Microsoft YaHei UI" w:hAnsi="Microsoft YaHei UI" w:eastAsia="Microsoft YaHei UI" w:cs="Microsoft YaHei UI"/>
      <w:b/>
      <w:bCs/>
      <w:sz w:val="72"/>
      <w:szCs w:val="72"/>
    </w:rPr>
  </w:style>
  <w:style w:type="character" w:styleId="10">
    <w:name w:val="Strong"/>
    <w:basedOn w:val="9"/>
    <w:qFormat/>
    <w:uiPriority w:val="22"/>
    <w:rPr>
      <w:b/>
      <w:bCs/>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381" w:firstLine="479"/>
    </w:pPr>
  </w:style>
  <w:style w:type="paragraph" w:customStyle="1" w:styleId="13">
    <w:name w:val="Table Paragraph"/>
    <w:basedOn w:val="1"/>
    <w:qFormat/>
    <w:uiPriority w:val="1"/>
    <w:pPr>
      <w:spacing w:before="112"/>
      <w:ind w:left="2"/>
      <w:jc w:val="center"/>
    </w:pPr>
  </w:style>
  <w:style w:type="character" w:customStyle="1" w:styleId="14">
    <w:name w:val="标题 2 字符"/>
    <w:basedOn w:val="9"/>
    <w:link w:val="3"/>
    <w:uiPriority w:val="9"/>
    <w:rPr>
      <w:rFonts w:asciiTheme="majorHAnsi" w:hAnsiTheme="majorHAnsi" w:cstheme="majorBidi"/>
      <w:b/>
      <w:bCs/>
      <w:sz w:val="32"/>
      <w:szCs w:val="32"/>
      <w:lang w:eastAsia="zh-CN"/>
    </w:rPr>
  </w:style>
  <w:style w:type="character" w:customStyle="1" w:styleId="15">
    <w:name w:val="页眉 字符"/>
    <w:basedOn w:val="9"/>
    <w:link w:val="6"/>
    <w:qFormat/>
    <w:uiPriority w:val="99"/>
    <w:rPr>
      <w:rFonts w:ascii="宋体" w:hAnsi="宋体" w:eastAsia="宋体" w:cs="宋体"/>
      <w:sz w:val="18"/>
      <w:szCs w:val="18"/>
      <w:lang w:eastAsia="zh-CN"/>
    </w:rPr>
  </w:style>
  <w:style w:type="character" w:customStyle="1" w:styleId="16">
    <w:name w:val="页脚 字符"/>
    <w:basedOn w:val="9"/>
    <w:link w:val="5"/>
    <w:qFormat/>
    <w:uiPriority w:val="99"/>
    <w:rPr>
      <w:rFonts w:ascii="宋体" w:hAnsi="宋体" w:eastAsia="宋体" w:cs="宋体"/>
      <w:sz w:val="18"/>
      <w:szCs w:val="18"/>
      <w:lang w:eastAsia="zh-CN"/>
    </w:rPr>
  </w:style>
  <w:style w:type="character" w:styleId="17">
    <w:name w:val="Placeholder Text"/>
    <w:basedOn w:val="9"/>
    <w:semiHidden/>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microsoft.com/office/2007/relationships/diagramDrawing" Target="diagrams/drawing1.xml"/><Relationship Id="rId7" Type="http://schemas.openxmlformats.org/officeDocument/2006/relationships/diagramColors" Target="diagrams/colors1.xml"/><Relationship Id="rId6" Type="http://schemas.openxmlformats.org/officeDocument/2006/relationships/diagramQuickStyle" Target="diagrams/quickStyle1.xml"/><Relationship Id="rId5" Type="http://schemas.openxmlformats.org/officeDocument/2006/relationships/diagramLayout" Target="diagrams/layout1.xml"/><Relationship Id="rId4" Type="http://schemas.openxmlformats.org/officeDocument/2006/relationships/diagramData" Target="diagrams/data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FA5701D1-E739-417D-BEAD-EC75C4F7391B}" type="doc">
      <dgm:prSet loTypeId="urn:microsoft.com/office/officeart/2005/8/layout/process2" loCatId="process" qsTypeId="urn:microsoft.com/office/officeart/2005/8/quickstyle/simple1" qsCatId="simple" csTypeId="urn:microsoft.com/office/officeart/2005/8/colors/accent0_1" csCatId="mainScheme" phldr="1"/>
      <dgm:spPr/>
    </dgm:pt>
    <dgm:pt modelId="{D171CCF6-FDE5-42A6-996D-B85C93FA9994}">
      <dgm:prSet phldrT="[文本]" custT="1"/>
      <dgm:spPr/>
      <dgm:t>
        <a:bodyPr/>
        <a:p>
          <a:pPr algn="ctr"/>
          <a:r>
            <a:rPr lang="zh-CN" altLang="en-US" sz="1600">
              <a:latin typeface="仿宋" panose="02010609060101010101" pitchFamily="3" charset="-122"/>
              <a:ea typeface="仿宋" panose="02010609060101010101" pitchFamily="3" charset="-122"/>
            </a:rPr>
            <a:t>研究生国家奖学金评审委员会审议，确定评定结果</a:t>
          </a:r>
        </a:p>
      </dgm:t>
    </dgm:pt>
    <dgm:pt modelId="{CB0A703F-AE09-4B70-A91B-1A020F85D277}" cxnId="{51B87026-A629-4814-8384-E40593D74B43}" type="parTrans">
      <dgm:prSet/>
      <dgm:spPr/>
      <dgm:t>
        <a:bodyPr/>
        <a:p>
          <a:endParaRPr lang="zh-CN" altLang="en-US" sz="1600">
            <a:latin typeface="仿宋" panose="02010609060101010101" pitchFamily="3" charset="-122"/>
            <a:ea typeface="仿宋" panose="02010609060101010101" pitchFamily="3" charset="-122"/>
          </a:endParaRPr>
        </a:p>
      </dgm:t>
    </dgm:pt>
    <dgm:pt modelId="{A5576987-A52E-4DCE-A01B-47FFB9B6C2E9}" cxnId="{51B87026-A629-4814-8384-E40593D74B43}" type="sibTrans">
      <dgm:prSet custT="1"/>
      <dgm:spPr>
        <a:solidFill>
          <a:schemeClr val="bg1"/>
        </a:solidFill>
        <a:ln>
          <a:solidFill>
            <a:schemeClr val="tx1"/>
          </a:solidFill>
        </a:ln>
      </dgm:spPr>
      <dgm:t>
        <a:bodyPr/>
        <a:p>
          <a:endParaRPr lang="zh-CN" altLang="en-US" sz="1600">
            <a:latin typeface="仿宋" panose="02010609060101010101" pitchFamily="3" charset="-122"/>
            <a:ea typeface="仿宋" panose="02010609060101010101" pitchFamily="3" charset="-122"/>
          </a:endParaRPr>
        </a:p>
      </dgm:t>
    </dgm:pt>
    <dgm:pt modelId="{5A9A2964-CA21-431A-89EF-5A6DA195A801}">
      <dgm:prSet custT="1"/>
      <dgm:spPr/>
      <dgm:t>
        <a:bodyPr/>
        <a:p>
          <a:r>
            <a:rPr lang="zh-CN" altLang="en-US" sz="1600">
              <a:latin typeface="仿宋" panose="02010609060101010101" pitchFamily="3" charset="-122"/>
              <a:ea typeface="仿宋" panose="02010609060101010101" pitchFamily="3" charset="-122"/>
            </a:rPr>
            <a:t>研究生国家奖学金评审委员会召开会议，制定实施细则</a:t>
          </a:r>
        </a:p>
      </dgm:t>
    </dgm:pt>
    <dgm:pt modelId="{873DE384-FAA4-4118-B132-D3E35749D8D5}" cxnId="{04E39B4F-61FB-4BAB-B617-230CF5083F38}" type="parTrans">
      <dgm:prSet/>
      <dgm:spPr/>
      <dgm:t>
        <a:bodyPr/>
        <a:p>
          <a:endParaRPr lang="zh-CN" altLang="en-US" sz="1600">
            <a:latin typeface="仿宋" panose="02010609060101010101" pitchFamily="3" charset="-122"/>
            <a:ea typeface="仿宋" panose="02010609060101010101" pitchFamily="3" charset="-122"/>
          </a:endParaRPr>
        </a:p>
      </dgm:t>
    </dgm:pt>
    <dgm:pt modelId="{BFBFE793-A307-4960-9EE7-82D52D59A27D}" cxnId="{04E39B4F-61FB-4BAB-B617-230CF5083F38}" type="sibTrans">
      <dgm:prSet custT="1"/>
      <dgm:spPr>
        <a:solidFill>
          <a:schemeClr val="bg1"/>
        </a:solidFill>
        <a:ln>
          <a:solidFill>
            <a:schemeClr val="tx1"/>
          </a:solidFill>
        </a:ln>
      </dgm:spPr>
      <dgm:t>
        <a:bodyPr/>
        <a:p>
          <a:endParaRPr lang="zh-CN" altLang="en-US" sz="1600">
            <a:latin typeface="仿宋" panose="02010609060101010101" pitchFamily="3" charset="-122"/>
            <a:ea typeface="仿宋" panose="02010609060101010101" pitchFamily="3" charset="-122"/>
          </a:endParaRPr>
        </a:p>
      </dgm:t>
    </dgm:pt>
    <dgm:pt modelId="{818B8D25-8986-4350-8517-E1F58E332C3E}">
      <dgm:prSet custT="1"/>
      <dgm:spPr/>
      <dgm:t>
        <a:bodyPr/>
        <a:p>
          <a:r>
            <a:rPr lang="zh-CN" altLang="en-US" sz="1600">
              <a:latin typeface="仿宋" panose="02010609060101010101" pitchFamily="3" charset="-122"/>
              <a:ea typeface="仿宋" panose="02010609060101010101" pitchFamily="3" charset="-122"/>
            </a:rPr>
            <a:t>研究生提交申请材料</a:t>
          </a:r>
        </a:p>
      </dgm:t>
    </dgm:pt>
    <dgm:pt modelId="{3DE358F7-0ACE-4E7D-9F8C-55C829138375}" cxnId="{FA4F19C2-51AA-4F16-97E4-DEDA05AA2FC4}" type="parTrans">
      <dgm:prSet/>
      <dgm:spPr/>
      <dgm:t>
        <a:bodyPr/>
        <a:p>
          <a:endParaRPr lang="zh-CN" altLang="en-US" sz="1600">
            <a:latin typeface="仿宋" panose="02010609060101010101" pitchFamily="3" charset="-122"/>
            <a:ea typeface="仿宋" panose="02010609060101010101" pitchFamily="3" charset="-122"/>
          </a:endParaRPr>
        </a:p>
      </dgm:t>
    </dgm:pt>
    <dgm:pt modelId="{C1AB815B-6477-4455-9E70-BC514DCBE7E9}" cxnId="{FA4F19C2-51AA-4F16-97E4-DEDA05AA2FC4}" type="sibTrans">
      <dgm:prSet custT="1"/>
      <dgm:spPr>
        <a:solidFill>
          <a:schemeClr val="bg1"/>
        </a:solidFill>
        <a:ln>
          <a:solidFill>
            <a:schemeClr val="tx1"/>
          </a:solidFill>
        </a:ln>
      </dgm:spPr>
      <dgm:t>
        <a:bodyPr/>
        <a:p>
          <a:endParaRPr lang="zh-CN" altLang="en-US" sz="1600">
            <a:latin typeface="仿宋" panose="02010609060101010101" pitchFamily="3" charset="-122"/>
            <a:ea typeface="仿宋" panose="02010609060101010101" pitchFamily="3" charset="-122"/>
          </a:endParaRPr>
        </a:p>
      </dgm:t>
    </dgm:pt>
    <dgm:pt modelId="{C9CB31E5-DA04-499F-B3C4-3CFA0130B56D}">
      <dgm:prSet custT="1"/>
      <dgm:spPr/>
      <dgm:t>
        <a:bodyPr/>
        <a:p>
          <a:r>
            <a:rPr lang="zh-CN" altLang="en-US" sz="1600">
              <a:latin typeface="仿宋" panose="02010609060101010101" pitchFamily="3" charset="-122"/>
              <a:ea typeface="仿宋" panose="02010609060101010101" pitchFamily="3" charset="-122"/>
            </a:rPr>
            <a:t>结果公示</a:t>
          </a:r>
        </a:p>
      </dgm:t>
    </dgm:pt>
    <dgm:pt modelId="{CBC6EFCB-0B8C-47AA-A362-7D941F0233B0}" cxnId="{FC1D5789-2BF9-430E-96FA-F571888E8678}" type="parTrans">
      <dgm:prSet/>
      <dgm:spPr/>
      <dgm:t>
        <a:bodyPr/>
        <a:p>
          <a:endParaRPr lang="zh-CN" altLang="en-US" sz="1600">
            <a:latin typeface="仿宋" panose="02010609060101010101" pitchFamily="3" charset="-122"/>
            <a:ea typeface="仿宋" panose="02010609060101010101" pitchFamily="3" charset="-122"/>
          </a:endParaRPr>
        </a:p>
      </dgm:t>
    </dgm:pt>
    <dgm:pt modelId="{EC69A40F-C06C-4CAE-9010-ADF49872891D}" cxnId="{FC1D5789-2BF9-430E-96FA-F571888E8678}" type="sibTrans">
      <dgm:prSet custT="1"/>
      <dgm:spPr>
        <a:solidFill>
          <a:schemeClr val="bg1"/>
        </a:solidFill>
        <a:ln>
          <a:solidFill>
            <a:schemeClr val="tx1"/>
          </a:solidFill>
        </a:ln>
      </dgm:spPr>
      <dgm:t>
        <a:bodyPr/>
        <a:p>
          <a:endParaRPr lang="zh-CN" altLang="en-US" sz="1600">
            <a:latin typeface="仿宋" panose="02010609060101010101" pitchFamily="3" charset="-122"/>
            <a:ea typeface="仿宋" panose="02010609060101010101" pitchFamily="3" charset="-122"/>
          </a:endParaRPr>
        </a:p>
      </dgm:t>
    </dgm:pt>
    <dgm:pt modelId="{595A7E11-D174-46DC-ABE4-C30CACC3B22F}">
      <dgm:prSet phldrT="[文本]" custT="1"/>
      <dgm:spPr/>
      <dgm:t>
        <a:bodyPr/>
        <a:p>
          <a:r>
            <a:rPr lang="zh-CN" altLang="en-US" sz="1600">
              <a:latin typeface="仿宋" panose="02010609060101010101" pitchFamily="3" charset="-122"/>
              <a:ea typeface="仿宋" panose="02010609060101010101" pitchFamily="3" charset="-122"/>
            </a:rPr>
            <a:t>上报学校</a:t>
          </a:r>
        </a:p>
      </dgm:t>
    </dgm:pt>
    <dgm:pt modelId="{E029280E-42E7-4F13-A8DA-C56399531B3A}" cxnId="{3FBC2D6F-8393-4AE7-A7F3-236A22C5ECE6}" type="parTrans">
      <dgm:prSet/>
      <dgm:spPr/>
      <dgm:t>
        <a:bodyPr/>
        <a:p>
          <a:endParaRPr lang="zh-CN" altLang="en-US" sz="1600">
            <a:latin typeface="仿宋" panose="02010609060101010101" pitchFamily="3" charset="-122"/>
            <a:ea typeface="仿宋" panose="02010609060101010101" pitchFamily="3" charset="-122"/>
          </a:endParaRPr>
        </a:p>
      </dgm:t>
    </dgm:pt>
    <dgm:pt modelId="{34BDF972-CFD6-4DC7-9ECF-CC9292E02AC5}" cxnId="{3FBC2D6F-8393-4AE7-A7F3-236A22C5ECE6}" type="sibTrans">
      <dgm:prSet/>
      <dgm:spPr/>
      <dgm:t>
        <a:bodyPr/>
        <a:p>
          <a:endParaRPr lang="zh-CN" altLang="en-US" sz="1600">
            <a:latin typeface="仿宋" panose="02010609060101010101" pitchFamily="3" charset="-122"/>
            <a:ea typeface="仿宋" panose="02010609060101010101" pitchFamily="3" charset="-122"/>
          </a:endParaRPr>
        </a:p>
      </dgm:t>
    </dgm:pt>
    <dgm:pt modelId="{91E6209D-9AFB-43AC-8DDF-3A64451DC1BE}">
      <dgm:prSet custT="1"/>
      <dgm:spPr/>
      <dgm:t>
        <a:bodyPr/>
        <a:p>
          <a:r>
            <a:rPr lang="zh-CN" altLang="en-US" sz="1600">
              <a:latin typeface="仿宋" panose="02010609060101010101" pitchFamily="3" charset="-122"/>
              <a:ea typeface="仿宋" panose="02010609060101010101" pitchFamily="3" charset="-122"/>
            </a:rPr>
            <a:t>学部审定材料</a:t>
          </a:r>
        </a:p>
      </dgm:t>
    </dgm:pt>
    <dgm:pt modelId="{CF32EA90-24A4-4401-9362-A6757F1D1FF0}" cxnId="{5A3A6457-F2F9-41F3-8D96-0E2DA529D81E}" type="parTrans">
      <dgm:prSet/>
      <dgm:spPr/>
      <dgm:t>
        <a:bodyPr/>
        <a:p>
          <a:endParaRPr lang="zh-CN" altLang="en-US" sz="1600">
            <a:latin typeface="仿宋" panose="02010609060101010101" pitchFamily="3" charset="-122"/>
            <a:ea typeface="仿宋" panose="02010609060101010101" pitchFamily="3" charset="-122"/>
          </a:endParaRPr>
        </a:p>
      </dgm:t>
    </dgm:pt>
    <dgm:pt modelId="{F107BE74-D76C-47D4-8AC9-4AC807417298}" cxnId="{5A3A6457-F2F9-41F3-8D96-0E2DA529D81E}" type="sibTrans">
      <dgm:prSet custT="1"/>
      <dgm:spPr>
        <a:solidFill>
          <a:schemeClr val="bg1"/>
        </a:solidFill>
        <a:ln>
          <a:solidFill>
            <a:schemeClr val="tx1"/>
          </a:solidFill>
        </a:ln>
      </dgm:spPr>
      <dgm:t>
        <a:bodyPr/>
        <a:p>
          <a:endParaRPr lang="zh-CN" altLang="en-US" sz="1600">
            <a:latin typeface="仿宋" panose="02010609060101010101" pitchFamily="3" charset="-122"/>
            <a:ea typeface="仿宋" panose="02010609060101010101" pitchFamily="3" charset="-122"/>
          </a:endParaRPr>
        </a:p>
      </dgm:t>
    </dgm:pt>
    <dgm:pt modelId="{86D8C380-4589-4ACC-8C24-455B00A33724}">
      <dgm:prSet custT="1"/>
      <dgm:spPr/>
      <dgm:t>
        <a:bodyPr/>
        <a:p>
          <a:r>
            <a:rPr lang="zh-CN" altLang="en-US" sz="1600">
              <a:latin typeface="仿宋" panose="02010609060101010101" pitchFamily="3" charset="-122"/>
              <a:ea typeface="仿宋" panose="02010609060101010101" pitchFamily="3" charset="-122"/>
            </a:rPr>
            <a:t>学部公开答辩</a:t>
          </a:r>
        </a:p>
      </dgm:t>
    </dgm:pt>
    <dgm:pt modelId="{6119C361-2257-4D37-B72E-8DDC440A1924}" cxnId="{6AFBBCB1-E7DA-4C5F-BA5F-11FD807F671D}" type="sibTrans">
      <dgm:prSet custT="1"/>
      <dgm:spPr>
        <a:solidFill>
          <a:schemeClr val="bg1"/>
        </a:solidFill>
        <a:ln>
          <a:solidFill>
            <a:schemeClr val="tx1"/>
          </a:solidFill>
        </a:ln>
      </dgm:spPr>
      <dgm:t>
        <a:bodyPr/>
        <a:p>
          <a:endParaRPr lang="zh-CN" altLang="en-US" sz="1600">
            <a:latin typeface="仿宋" panose="02010609060101010101" pitchFamily="3" charset="-122"/>
            <a:ea typeface="仿宋" panose="02010609060101010101" pitchFamily="3" charset="-122"/>
          </a:endParaRPr>
        </a:p>
      </dgm:t>
    </dgm:pt>
    <dgm:pt modelId="{EB11B8BA-5DB0-440B-9B35-875EC70936E1}" cxnId="{6AFBBCB1-E7DA-4C5F-BA5F-11FD807F671D}" type="parTrans">
      <dgm:prSet/>
      <dgm:spPr/>
      <dgm:t>
        <a:bodyPr/>
        <a:p>
          <a:endParaRPr lang="zh-CN" altLang="en-US" sz="1600">
            <a:latin typeface="仿宋" panose="02010609060101010101" pitchFamily="3" charset="-122"/>
            <a:ea typeface="仿宋" panose="02010609060101010101" pitchFamily="3" charset="-122"/>
          </a:endParaRPr>
        </a:p>
      </dgm:t>
    </dgm:pt>
    <dgm:pt modelId="{013EE4E7-88D4-4D5E-968A-887E0AD0D23C}" type="pres">
      <dgm:prSet presAssocID="{FA5701D1-E739-417D-BEAD-EC75C4F7391B}" presName="linearFlow" presStyleCnt="0">
        <dgm:presLayoutVars>
          <dgm:resizeHandles val="exact"/>
        </dgm:presLayoutVars>
      </dgm:prSet>
      <dgm:spPr/>
    </dgm:pt>
    <dgm:pt modelId="{7BA21892-663C-447D-A042-B1168FED10CE}" type="pres">
      <dgm:prSet presAssocID="{5A9A2964-CA21-431A-89EF-5A6DA195A801}" presName="node" presStyleLbl="node1" presStyleIdx="0" presStyleCnt="7" custScaleX="240888" custLinFactNeighborX="14514" custLinFactNeighborY="13586">
        <dgm:presLayoutVars>
          <dgm:bulletEnabled val="1"/>
        </dgm:presLayoutVars>
      </dgm:prSet>
      <dgm:spPr/>
    </dgm:pt>
    <dgm:pt modelId="{BFE0889B-6902-422D-B53B-232F2BB60C0D}" type="pres">
      <dgm:prSet presAssocID="{BFBFE793-A307-4960-9EE7-82D52D59A27D}" presName="sibTrans" presStyleLbl="sibTrans2D1" presStyleIdx="0" presStyleCnt="6"/>
      <dgm:spPr/>
    </dgm:pt>
    <dgm:pt modelId="{8D57C2D2-5560-4073-BDE6-061FE52965D1}" type="pres">
      <dgm:prSet presAssocID="{BFBFE793-A307-4960-9EE7-82D52D59A27D}" presName="connectorText" presStyleLbl="sibTrans2D1" presStyleIdx="0" presStyleCnt="6"/>
      <dgm:spPr/>
    </dgm:pt>
    <dgm:pt modelId="{93EFDB1A-CEE5-41F5-BD3C-B979299E1EE3}" type="pres">
      <dgm:prSet presAssocID="{818B8D25-8986-4350-8517-E1F58E332C3E}" presName="node" presStyleLbl="node1" presStyleIdx="1" presStyleCnt="7" custScaleX="240888" custLinFactNeighborX="14514" custLinFactNeighborY="13586">
        <dgm:presLayoutVars>
          <dgm:bulletEnabled val="1"/>
        </dgm:presLayoutVars>
      </dgm:prSet>
      <dgm:spPr/>
    </dgm:pt>
    <dgm:pt modelId="{D4B190F9-BEFC-44F5-8023-F8C076F52964}" type="pres">
      <dgm:prSet presAssocID="{C1AB815B-6477-4455-9E70-BC514DCBE7E9}" presName="sibTrans" presStyleLbl="sibTrans2D1" presStyleIdx="1" presStyleCnt="6"/>
      <dgm:spPr/>
    </dgm:pt>
    <dgm:pt modelId="{1A8C495C-5769-4253-AE99-BD6B0946BE54}" type="pres">
      <dgm:prSet presAssocID="{C1AB815B-6477-4455-9E70-BC514DCBE7E9}" presName="connectorText" presStyleLbl="sibTrans2D1" presStyleIdx="1" presStyleCnt="6"/>
      <dgm:spPr/>
    </dgm:pt>
    <dgm:pt modelId="{127752C8-79EA-4432-89F2-7FE838767401}" type="pres">
      <dgm:prSet presAssocID="{91E6209D-9AFB-43AC-8DDF-3A64451DC1BE}" presName="node" presStyleLbl="node1" presStyleIdx="2" presStyleCnt="7" custScaleX="240888" custLinFactNeighborX="14514" custLinFactNeighborY="13586">
        <dgm:presLayoutVars>
          <dgm:bulletEnabled val="1"/>
        </dgm:presLayoutVars>
      </dgm:prSet>
      <dgm:spPr/>
    </dgm:pt>
    <dgm:pt modelId="{AB5C83FD-1A44-4A74-8EED-1457A001D2FD}" type="pres">
      <dgm:prSet presAssocID="{F107BE74-D76C-47D4-8AC9-4AC807417298}" presName="sibTrans" presStyleLbl="sibTrans2D1" presStyleIdx="2" presStyleCnt="6"/>
      <dgm:spPr/>
    </dgm:pt>
    <dgm:pt modelId="{7BEBCB6A-5F10-469D-8F53-9C0D71C176F3}" type="pres">
      <dgm:prSet presAssocID="{F107BE74-D76C-47D4-8AC9-4AC807417298}" presName="connectorText" presStyleLbl="sibTrans2D1" presStyleIdx="2" presStyleCnt="6"/>
      <dgm:spPr/>
    </dgm:pt>
    <dgm:pt modelId="{9EA533B8-4623-4401-9333-95614E251A6A}" type="pres">
      <dgm:prSet presAssocID="{86D8C380-4589-4ACC-8C24-455B00A33724}" presName="node" presStyleLbl="node1" presStyleIdx="3" presStyleCnt="7" custScaleX="240888" custLinFactNeighborX="14514" custLinFactNeighborY="13586">
        <dgm:presLayoutVars>
          <dgm:bulletEnabled val="1"/>
        </dgm:presLayoutVars>
      </dgm:prSet>
      <dgm:spPr/>
    </dgm:pt>
    <dgm:pt modelId="{AA99ED46-7A51-43D0-8295-19C6AE2D2DBB}" type="pres">
      <dgm:prSet presAssocID="{6119C361-2257-4D37-B72E-8DDC440A1924}" presName="sibTrans" presStyleLbl="sibTrans2D1" presStyleIdx="3" presStyleCnt="6"/>
      <dgm:spPr/>
    </dgm:pt>
    <dgm:pt modelId="{65CB6A79-190F-4639-86B6-885FCE64D6BA}" type="pres">
      <dgm:prSet presAssocID="{6119C361-2257-4D37-B72E-8DDC440A1924}" presName="connectorText" presStyleLbl="sibTrans2D1" presStyleIdx="3" presStyleCnt="6"/>
      <dgm:spPr/>
    </dgm:pt>
    <dgm:pt modelId="{25EB187A-C79D-4027-9965-2CA031992A0B}" type="pres">
      <dgm:prSet presAssocID="{D171CCF6-FDE5-42A6-996D-B85C93FA9994}" presName="node" presStyleLbl="node1" presStyleIdx="4" presStyleCnt="7" custScaleX="240888" custScaleY="110000" custLinFactNeighborX="14514" custLinFactNeighborY="13586">
        <dgm:presLayoutVars>
          <dgm:bulletEnabled val="1"/>
        </dgm:presLayoutVars>
      </dgm:prSet>
      <dgm:spPr/>
    </dgm:pt>
    <dgm:pt modelId="{5C9A839A-3F40-48E5-8C61-C9485DF40566}" type="pres">
      <dgm:prSet presAssocID="{A5576987-A52E-4DCE-A01B-47FFB9B6C2E9}" presName="sibTrans" presStyleLbl="sibTrans2D1" presStyleIdx="4" presStyleCnt="6"/>
      <dgm:spPr/>
    </dgm:pt>
    <dgm:pt modelId="{5F36B55B-66FB-4209-8F7E-382DD2277BFF}" type="pres">
      <dgm:prSet presAssocID="{A5576987-A52E-4DCE-A01B-47FFB9B6C2E9}" presName="connectorText" presStyleLbl="sibTrans2D1" presStyleIdx="4" presStyleCnt="6"/>
      <dgm:spPr/>
    </dgm:pt>
    <dgm:pt modelId="{A54C0A5B-DF21-4FDA-A27E-9413EDF5242B}" type="pres">
      <dgm:prSet presAssocID="{C9CB31E5-DA04-499F-B3C4-3CFA0130B56D}" presName="node" presStyleLbl="node1" presStyleIdx="5" presStyleCnt="7" custScaleX="240888" custLinFactNeighborX="14514" custLinFactNeighborY="13586">
        <dgm:presLayoutVars>
          <dgm:bulletEnabled val="1"/>
        </dgm:presLayoutVars>
      </dgm:prSet>
      <dgm:spPr/>
    </dgm:pt>
    <dgm:pt modelId="{70723B86-34E6-4C91-ABF8-ECDE2254F061}" type="pres">
      <dgm:prSet presAssocID="{EC69A40F-C06C-4CAE-9010-ADF49872891D}" presName="sibTrans" presStyleLbl="sibTrans2D1" presStyleIdx="5" presStyleCnt="6"/>
      <dgm:spPr/>
    </dgm:pt>
    <dgm:pt modelId="{0C4AEFDE-09FE-40EF-9BDB-BE6F4DF0A6B5}" type="pres">
      <dgm:prSet presAssocID="{EC69A40F-C06C-4CAE-9010-ADF49872891D}" presName="connectorText" presStyleLbl="sibTrans2D1" presStyleIdx="5" presStyleCnt="6"/>
      <dgm:spPr/>
    </dgm:pt>
    <dgm:pt modelId="{182638E0-1621-4DB2-BA02-ACFD70E31DD9}" type="pres">
      <dgm:prSet presAssocID="{595A7E11-D174-46DC-ABE4-C30CACC3B22F}" presName="node" presStyleLbl="node1" presStyleIdx="6" presStyleCnt="7" custScaleX="240888">
        <dgm:presLayoutVars>
          <dgm:bulletEnabled val="1"/>
        </dgm:presLayoutVars>
      </dgm:prSet>
      <dgm:spPr/>
    </dgm:pt>
  </dgm:ptLst>
  <dgm:cxnLst>
    <dgm:cxn modelId="{8F28E202-8F64-4B9D-ACC3-F8572B664DD9}" type="presOf" srcId="{818B8D25-8986-4350-8517-E1F58E332C3E}" destId="{93EFDB1A-CEE5-41F5-BD3C-B979299E1EE3}" srcOrd="0" destOrd="0" presId="urn:microsoft.com/office/officeart/2005/8/layout/process2"/>
    <dgm:cxn modelId="{0612290B-B0E3-411D-9280-62201DD3758D}" type="presOf" srcId="{D171CCF6-FDE5-42A6-996D-B85C93FA9994}" destId="{25EB187A-C79D-4027-9965-2CA031992A0B}" srcOrd="0" destOrd="0" presId="urn:microsoft.com/office/officeart/2005/8/layout/process2"/>
    <dgm:cxn modelId="{BCD35811-5FE5-4A9D-8807-82474770C825}" type="presOf" srcId="{86D8C380-4589-4ACC-8C24-455B00A33724}" destId="{9EA533B8-4623-4401-9333-95614E251A6A}" srcOrd="0" destOrd="0" presId="urn:microsoft.com/office/officeart/2005/8/layout/process2"/>
    <dgm:cxn modelId="{51B87026-A629-4814-8384-E40593D74B43}" srcId="{FA5701D1-E739-417D-BEAD-EC75C4F7391B}" destId="{D171CCF6-FDE5-42A6-996D-B85C93FA9994}" srcOrd="4" destOrd="0" parTransId="{CB0A703F-AE09-4B70-A91B-1A020F85D277}" sibTransId="{A5576987-A52E-4DCE-A01B-47FFB9B6C2E9}"/>
    <dgm:cxn modelId="{3F25CC6A-204E-47A5-BEAE-87F8D0771AAE}" type="presOf" srcId="{C1AB815B-6477-4455-9E70-BC514DCBE7E9}" destId="{1A8C495C-5769-4253-AE99-BD6B0946BE54}" srcOrd="1" destOrd="0" presId="urn:microsoft.com/office/officeart/2005/8/layout/process2"/>
    <dgm:cxn modelId="{9A9B1A4B-E01F-4443-9B68-76761B288D59}" type="presOf" srcId="{F107BE74-D76C-47D4-8AC9-4AC807417298}" destId="{7BEBCB6A-5F10-469D-8F53-9C0D71C176F3}" srcOrd="1" destOrd="0" presId="urn:microsoft.com/office/officeart/2005/8/layout/process2"/>
    <dgm:cxn modelId="{CD6B334B-3227-46FD-B4BB-000AC84F8296}" type="presOf" srcId="{6119C361-2257-4D37-B72E-8DDC440A1924}" destId="{AA99ED46-7A51-43D0-8295-19C6AE2D2DBB}" srcOrd="0" destOrd="0" presId="urn:microsoft.com/office/officeart/2005/8/layout/process2"/>
    <dgm:cxn modelId="{14595B4D-405C-4AAE-9AA5-FC5AD5B6E7CE}" type="presOf" srcId="{A5576987-A52E-4DCE-A01B-47FFB9B6C2E9}" destId="{5F36B55B-66FB-4209-8F7E-382DD2277BFF}" srcOrd="1" destOrd="0" presId="urn:microsoft.com/office/officeart/2005/8/layout/process2"/>
    <dgm:cxn modelId="{F4E5754D-140E-4214-871B-788035003EDA}" type="presOf" srcId="{91E6209D-9AFB-43AC-8DDF-3A64451DC1BE}" destId="{127752C8-79EA-4432-89F2-7FE838767401}" srcOrd="0" destOrd="0" presId="urn:microsoft.com/office/officeart/2005/8/layout/process2"/>
    <dgm:cxn modelId="{87CBE26D-F8C3-40FC-A1B3-662AB2BE4C6F}" type="presOf" srcId="{BFBFE793-A307-4960-9EE7-82D52D59A27D}" destId="{BFE0889B-6902-422D-B53B-232F2BB60C0D}" srcOrd="0" destOrd="0" presId="urn:microsoft.com/office/officeart/2005/8/layout/process2"/>
    <dgm:cxn modelId="{3FBC2D6F-8393-4AE7-A7F3-236A22C5ECE6}" srcId="{FA5701D1-E739-417D-BEAD-EC75C4F7391B}" destId="{595A7E11-D174-46DC-ABE4-C30CACC3B22F}" srcOrd="6" destOrd="0" parTransId="{E029280E-42E7-4F13-A8DA-C56399531B3A}" sibTransId="{34BDF972-CFD6-4DC7-9ECF-CC9292E02AC5}"/>
    <dgm:cxn modelId="{04E39B4F-61FB-4BAB-B617-230CF5083F38}" srcId="{FA5701D1-E739-417D-BEAD-EC75C4F7391B}" destId="{5A9A2964-CA21-431A-89EF-5A6DA195A801}" srcOrd="0" destOrd="0" parTransId="{873DE384-FAA4-4118-B132-D3E35749D8D5}" sibTransId="{BFBFE793-A307-4960-9EE7-82D52D59A27D}"/>
    <dgm:cxn modelId="{17122B76-DA88-4824-8091-F48B7C0E4A70}" type="presOf" srcId="{FA5701D1-E739-417D-BEAD-EC75C4F7391B}" destId="{013EE4E7-88D4-4D5E-968A-887E0AD0D23C}" srcOrd="0" destOrd="0" presId="urn:microsoft.com/office/officeart/2005/8/layout/process2"/>
    <dgm:cxn modelId="{5A3A6457-F2F9-41F3-8D96-0E2DA529D81E}" srcId="{FA5701D1-E739-417D-BEAD-EC75C4F7391B}" destId="{91E6209D-9AFB-43AC-8DDF-3A64451DC1BE}" srcOrd="2" destOrd="0" parTransId="{CF32EA90-24A4-4401-9362-A6757F1D1FF0}" sibTransId="{F107BE74-D76C-47D4-8AC9-4AC807417298}"/>
    <dgm:cxn modelId="{F2BCB37B-7A87-4E14-9DC6-63969F4DBF84}" type="presOf" srcId="{C1AB815B-6477-4455-9E70-BC514DCBE7E9}" destId="{D4B190F9-BEFC-44F5-8023-F8C076F52964}" srcOrd="0" destOrd="0" presId="urn:microsoft.com/office/officeart/2005/8/layout/process2"/>
    <dgm:cxn modelId="{73264681-3FD6-4395-8B68-52F80D569452}" type="presOf" srcId="{6119C361-2257-4D37-B72E-8DDC440A1924}" destId="{65CB6A79-190F-4639-86B6-885FCE64D6BA}" srcOrd="1" destOrd="0" presId="urn:microsoft.com/office/officeart/2005/8/layout/process2"/>
    <dgm:cxn modelId="{FC1D5789-2BF9-430E-96FA-F571888E8678}" srcId="{FA5701D1-E739-417D-BEAD-EC75C4F7391B}" destId="{C9CB31E5-DA04-499F-B3C4-3CFA0130B56D}" srcOrd="5" destOrd="0" parTransId="{CBC6EFCB-0B8C-47AA-A362-7D941F0233B0}" sibTransId="{EC69A40F-C06C-4CAE-9010-ADF49872891D}"/>
    <dgm:cxn modelId="{5CB52EA1-960C-4B4E-A952-1D90CE331EC3}" type="presOf" srcId="{EC69A40F-C06C-4CAE-9010-ADF49872891D}" destId="{0C4AEFDE-09FE-40EF-9BDB-BE6F4DF0A6B5}" srcOrd="1" destOrd="0" presId="urn:microsoft.com/office/officeart/2005/8/layout/process2"/>
    <dgm:cxn modelId="{19883BB0-E29D-4CF5-862A-8C6125CDADB0}" type="presOf" srcId="{595A7E11-D174-46DC-ABE4-C30CACC3B22F}" destId="{182638E0-1621-4DB2-BA02-ACFD70E31DD9}" srcOrd="0" destOrd="0" presId="urn:microsoft.com/office/officeart/2005/8/layout/process2"/>
    <dgm:cxn modelId="{6AFBBCB1-E7DA-4C5F-BA5F-11FD807F671D}" srcId="{FA5701D1-E739-417D-BEAD-EC75C4F7391B}" destId="{86D8C380-4589-4ACC-8C24-455B00A33724}" srcOrd="3" destOrd="0" parTransId="{EB11B8BA-5DB0-440B-9B35-875EC70936E1}" sibTransId="{6119C361-2257-4D37-B72E-8DDC440A1924}"/>
    <dgm:cxn modelId="{3E14EAB3-6523-435D-8182-6825CE9A3DFD}" type="presOf" srcId="{F107BE74-D76C-47D4-8AC9-4AC807417298}" destId="{AB5C83FD-1A44-4A74-8EED-1457A001D2FD}" srcOrd="0" destOrd="0" presId="urn:microsoft.com/office/officeart/2005/8/layout/process2"/>
    <dgm:cxn modelId="{A05263B5-BF8F-4336-86F4-039903EA0EEF}" type="presOf" srcId="{C9CB31E5-DA04-499F-B3C4-3CFA0130B56D}" destId="{A54C0A5B-DF21-4FDA-A27E-9413EDF5242B}" srcOrd="0" destOrd="0" presId="urn:microsoft.com/office/officeart/2005/8/layout/process2"/>
    <dgm:cxn modelId="{155AE7B8-DF13-4FB9-B793-72043FB66A2B}" type="presOf" srcId="{5A9A2964-CA21-431A-89EF-5A6DA195A801}" destId="{7BA21892-663C-447D-A042-B1168FED10CE}" srcOrd="0" destOrd="0" presId="urn:microsoft.com/office/officeart/2005/8/layout/process2"/>
    <dgm:cxn modelId="{FA4F19C2-51AA-4F16-97E4-DEDA05AA2FC4}" srcId="{FA5701D1-E739-417D-BEAD-EC75C4F7391B}" destId="{818B8D25-8986-4350-8517-E1F58E332C3E}" srcOrd="1" destOrd="0" parTransId="{3DE358F7-0ACE-4E7D-9F8C-55C829138375}" sibTransId="{C1AB815B-6477-4455-9E70-BC514DCBE7E9}"/>
    <dgm:cxn modelId="{2E2AA2C2-CC43-4C37-9CFA-0FDE0C376A5A}" type="presOf" srcId="{BFBFE793-A307-4960-9EE7-82D52D59A27D}" destId="{8D57C2D2-5560-4073-BDE6-061FE52965D1}" srcOrd="1" destOrd="0" presId="urn:microsoft.com/office/officeart/2005/8/layout/process2"/>
    <dgm:cxn modelId="{0E8599C8-5723-4FA7-8D91-6B4F997760AE}" type="presOf" srcId="{A5576987-A52E-4DCE-A01B-47FFB9B6C2E9}" destId="{5C9A839A-3F40-48E5-8C61-C9485DF40566}" srcOrd="0" destOrd="0" presId="urn:microsoft.com/office/officeart/2005/8/layout/process2"/>
    <dgm:cxn modelId="{F75D59F0-94C6-49BF-8C64-2400277AFEDF}" type="presOf" srcId="{EC69A40F-C06C-4CAE-9010-ADF49872891D}" destId="{70723B86-34E6-4C91-ABF8-ECDE2254F061}" srcOrd="0" destOrd="0" presId="urn:microsoft.com/office/officeart/2005/8/layout/process2"/>
    <dgm:cxn modelId="{EEBE9CCF-E19B-4F99-8F1A-E7ACB50BB43F}" type="presParOf" srcId="{013EE4E7-88D4-4D5E-968A-887E0AD0D23C}" destId="{7BA21892-663C-447D-A042-B1168FED10CE}" srcOrd="0" destOrd="0" presId="urn:microsoft.com/office/officeart/2005/8/layout/process2"/>
    <dgm:cxn modelId="{7301F9B0-FF08-45D3-96D0-EDCEDDC1B206}" type="presParOf" srcId="{013EE4E7-88D4-4D5E-968A-887E0AD0D23C}" destId="{BFE0889B-6902-422D-B53B-232F2BB60C0D}" srcOrd="1" destOrd="0" presId="urn:microsoft.com/office/officeart/2005/8/layout/process2"/>
    <dgm:cxn modelId="{A19739D7-B30C-4FFA-B7F2-B39F1C44F3C1}" type="presParOf" srcId="{BFE0889B-6902-422D-B53B-232F2BB60C0D}" destId="{8D57C2D2-5560-4073-BDE6-061FE52965D1}" srcOrd="0" destOrd="0" presId="urn:microsoft.com/office/officeart/2005/8/layout/process2"/>
    <dgm:cxn modelId="{9E62521E-3D89-4606-A630-71EE90A8AB7D}" type="presParOf" srcId="{013EE4E7-88D4-4D5E-968A-887E0AD0D23C}" destId="{93EFDB1A-CEE5-41F5-BD3C-B979299E1EE3}" srcOrd="2" destOrd="0" presId="urn:microsoft.com/office/officeart/2005/8/layout/process2"/>
    <dgm:cxn modelId="{D7291DEF-5758-46C9-998B-4A88B8429B7B}" type="presParOf" srcId="{013EE4E7-88D4-4D5E-968A-887E0AD0D23C}" destId="{D4B190F9-BEFC-44F5-8023-F8C076F52964}" srcOrd="3" destOrd="0" presId="urn:microsoft.com/office/officeart/2005/8/layout/process2"/>
    <dgm:cxn modelId="{6F5733B9-7DFF-4B80-81CA-C76DF69031ED}" type="presParOf" srcId="{D4B190F9-BEFC-44F5-8023-F8C076F52964}" destId="{1A8C495C-5769-4253-AE99-BD6B0946BE54}" srcOrd="0" destOrd="0" presId="urn:microsoft.com/office/officeart/2005/8/layout/process2"/>
    <dgm:cxn modelId="{0F3546CF-B484-41AE-84A9-CF63542CB206}" type="presParOf" srcId="{013EE4E7-88D4-4D5E-968A-887E0AD0D23C}" destId="{127752C8-79EA-4432-89F2-7FE838767401}" srcOrd="4" destOrd="0" presId="urn:microsoft.com/office/officeart/2005/8/layout/process2"/>
    <dgm:cxn modelId="{3A7A1994-AC9E-47A6-BFC4-C3A7B0E370EA}" type="presParOf" srcId="{013EE4E7-88D4-4D5E-968A-887E0AD0D23C}" destId="{AB5C83FD-1A44-4A74-8EED-1457A001D2FD}" srcOrd="5" destOrd="0" presId="urn:microsoft.com/office/officeart/2005/8/layout/process2"/>
    <dgm:cxn modelId="{DE89CFFA-4AAE-4AC7-841A-8CF1A40F97DD}" type="presParOf" srcId="{AB5C83FD-1A44-4A74-8EED-1457A001D2FD}" destId="{7BEBCB6A-5F10-469D-8F53-9C0D71C176F3}" srcOrd="0" destOrd="0" presId="urn:microsoft.com/office/officeart/2005/8/layout/process2"/>
    <dgm:cxn modelId="{002966CB-5629-4294-9627-2B3122943581}" type="presParOf" srcId="{013EE4E7-88D4-4D5E-968A-887E0AD0D23C}" destId="{9EA533B8-4623-4401-9333-95614E251A6A}" srcOrd="6" destOrd="0" presId="urn:microsoft.com/office/officeart/2005/8/layout/process2"/>
    <dgm:cxn modelId="{05048270-9923-4BB3-AF17-9A08F4658789}" type="presParOf" srcId="{013EE4E7-88D4-4D5E-968A-887E0AD0D23C}" destId="{AA99ED46-7A51-43D0-8295-19C6AE2D2DBB}" srcOrd="7" destOrd="0" presId="urn:microsoft.com/office/officeart/2005/8/layout/process2"/>
    <dgm:cxn modelId="{A7F279D7-06C5-423F-822C-3E7FB1A4FEE7}" type="presParOf" srcId="{AA99ED46-7A51-43D0-8295-19C6AE2D2DBB}" destId="{65CB6A79-190F-4639-86B6-885FCE64D6BA}" srcOrd="0" destOrd="0" presId="urn:microsoft.com/office/officeart/2005/8/layout/process2"/>
    <dgm:cxn modelId="{9F52E937-E5BD-4B86-A37B-A4D061C1F1C3}" type="presParOf" srcId="{013EE4E7-88D4-4D5E-968A-887E0AD0D23C}" destId="{25EB187A-C79D-4027-9965-2CA031992A0B}" srcOrd="8" destOrd="0" presId="urn:microsoft.com/office/officeart/2005/8/layout/process2"/>
    <dgm:cxn modelId="{89EC8E71-A9C0-4E46-B7B0-CC302E73ACDA}" type="presParOf" srcId="{013EE4E7-88D4-4D5E-968A-887E0AD0D23C}" destId="{5C9A839A-3F40-48E5-8C61-C9485DF40566}" srcOrd="9" destOrd="0" presId="urn:microsoft.com/office/officeart/2005/8/layout/process2"/>
    <dgm:cxn modelId="{433BEC28-06D7-4E7C-BB06-8B236FC26B66}" type="presParOf" srcId="{5C9A839A-3F40-48E5-8C61-C9485DF40566}" destId="{5F36B55B-66FB-4209-8F7E-382DD2277BFF}" srcOrd="0" destOrd="0" presId="urn:microsoft.com/office/officeart/2005/8/layout/process2"/>
    <dgm:cxn modelId="{A980935B-DFD9-4C50-97CE-F498B5DE2F07}" type="presParOf" srcId="{013EE4E7-88D4-4D5E-968A-887E0AD0D23C}" destId="{A54C0A5B-DF21-4FDA-A27E-9413EDF5242B}" srcOrd="10" destOrd="0" presId="urn:microsoft.com/office/officeart/2005/8/layout/process2"/>
    <dgm:cxn modelId="{36E0CCF5-C97E-4784-89CA-46EFC749760E}" type="presParOf" srcId="{013EE4E7-88D4-4D5E-968A-887E0AD0D23C}" destId="{70723B86-34E6-4C91-ABF8-ECDE2254F061}" srcOrd="11" destOrd="0" presId="urn:microsoft.com/office/officeart/2005/8/layout/process2"/>
    <dgm:cxn modelId="{42DA717B-271A-4AB6-966C-ADE8560D3DC2}" type="presParOf" srcId="{70723B86-34E6-4C91-ABF8-ECDE2254F061}" destId="{0C4AEFDE-09FE-40EF-9BDB-BE6F4DF0A6B5}" srcOrd="0" destOrd="0" presId="urn:microsoft.com/office/officeart/2005/8/layout/process2"/>
    <dgm:cxn modelId="{C8C196AA-9DE4-464D-B774-8FF0CDC53F33}" type="presParOf" srcId="{013EE4E7-88D4-4D5E-968A-887E0AD0D23C}" destId="{182638E0-1621-4DB2-BA02-ACFD70E31DD9}" srcOrd="12" destOrd="0" presId="urn:microsoft.com/office/officeart/2005/8/layout/process2"/>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381500" cy="4978400"/>
        <a:chOff x="0" y="0"/>
        <a:chExt cx="4381500" cy="4978400"/>
      </a:xfrm>
    </dsp:grpSpPr>
    <dsp:sp modelId="{7BA21892-663C-447D-A042-B1168FED10CE}">
      <dsp:nvSpPr>
        <dsp:cNvPr id="3" name="圆角矩形 2"/>
        <dsp:cNvSpPr/>
      </dsp:nvSpPr>
      <dsp:spPr bwMode="white">
        <a:xfrm>
          <a:off x="0" y="33483"/>
          <a:ext cx="4381500" cy="492911"/>
        </a:xfrm>
        <a:prstGeom prst="roundRect">
          <a:avLst>
            <a:gd name="adj" fmla="val 10000"/>
          </a:avLst>
        </a:prstGeom>
      </dsp:spPr>
      <dsp:style>
        <a:lnRef idx="2">
          <a:schemeClr val="dk1">
            <a:shade val="80000"/>
          </a:schemeClr>
        </a:lnRef>
        <a:fillRef idx="1">
          <a:schemeClr val="lt1"/>
        </a:fillRef>
        <a:effectRef idx="0">
          <a:scrgbClr r="0" g="0" b="0"/>
        </a:effectRef>
        <a:fontRef idx="minor">
          <a:schemeClr val="lt1"/>
        </a:fontRef>
      </dsp:style>
      <dsp:txBody>
        <a:bodyPr lIns="60960" tIns="60960" rIns="60960" bIns="609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600">
              <a:solidFill>
                <a:schemeClr val="dk1"/>
              </a:solidFill>
              <a:latin typeface="仿宋" panose="02010609060101010101" pitchFamily="3" charset="-122"/>
              <a:ea typeface="仿宋" panose="02010609060101010101" pitchFamily="3" charset="-122"/>
            </a:rPr>
            <a:t>研究生国家奖学金评审委员会召开会议，制定实施细则</a:t>
          </a:r>
          <a:endParaRPr>
            <a:solidFill>
              <a:schemeClr val="dk1"/>
            </a:solidFill>
          </a:endParaRPr>
        </a:p>
      </dsp:txBody>
      <dsp:txXfrm>
        <a:off x="0" y="33483"/>
        <a:ext cx="4381500" cy="492911"/>
      </dsp:txXfrm>
    </dsp:sp>
    <dsp:sp modelId="{BFE0889B-6902-422D-B53B-232F2BB60C0D}">
      <dsp:nvSpPr>
        <dsp:cNvPr id="4" name="右箭头 3"/>
        <dsp:cNvSpPr/>
      </dsp:nvSpPr>
      <dsp:spPr bwMode="white">
        <a:xfrm rot="5399999">
          <a:off x="2098329" y="538717"/>
          <a:ext cx="184842" cy="221810"/>
        </a:xfrm>
        <a:prstGeom prst="rightArrow">
          <a:avLst>
            <a:gd name="adj1" fmla="val 60000"/>
            <a:gd name="adj2" fmla="val 50000"/>
          </a:avLst>
        </a:prstGeom>
        <a:solidFill>
          <a:schemeClr val="bg1"/>
        </a:solidFill>
        <a:ln>
          <a:solidFill>
            <a:schemeClr val="tx1"/>
          </a:solidFill>
        </a:ln>
      </dsp:spPr>
      <dsp:style>
        <a:lnRef idx="0">
          <a:schemeClr val="dk1">
            <a:tint val="60000"/>
          </a:schemeClr>
        </a:lnRef>
        <a:fillRef idx="1">
          <a:schemeClr val="dk1">
            <a:tint val="60000"/>
          </a:schemeClr>
        </a:fillRef>
        <a:effectRef idx="0">
          <a:scrgbClr r="0" g="0" b="0"/>
        </a:effectRef>
        <a:fontRef idx="minor">
          <a:schemeClr val="lt1"/>
        </a:fontRef>
      </dsp:style>
      <dsp:txBody>
        <a:bodyPr rot="-5400000" anchor="ctr"/>
        <a:lstStyle>
          <a:lvl1pPr algn="ctr"/>
          <a:lvl2pPr algn="ctr"/>
          <a:lvl3pPr algn="ctr"/>
          <a:lvl4pPr algn="ctr"/>
          <a:lvl5pPr algn="ctr"/>
          <a:lvl6pPr algn="ctr"/>
          <a:lvl7pPr algn="ctr"/>
          <a:lvl8pPr algn="ctr"/>
          <a:lvl9pPr algn="ctr"/>
        </a:lstStyle>
        <a:p>
          <a:pPr lvl="0">
            <a:lnSpc>
              <a:spcPct val="100000"/>
            </a:lnSpc>
            <a:spcBef>
              <a:spcPct val="0"/>
            </a:spcBef>
            <a:spcAft>
              <a:spcPct val="35000"/>
            </a:spcAft>
          </a:pPr>
          <a:endParaRPr lang="zh-CN" altLang="en-US" sz="1600">
            <a:solidFill>
              <a:schemeClr val="dk1"/>
            </a:solidFill>
            <a:latin typeface="仿宋" panose="02010609060101010101" pitchFamily="3" charset="-122"/>
            <a:ea typeface="仿宋" panose="02010609060101010101" pitchFamily="3" charset="-122"/>
          </a:endParaRPr>
        </a:p>
      </dsp:txBody>
      <dsp:txXfrm rot="5399999">
        <a:off x="2098329" y="538717"/>
        <a:ext cx="184842" cy="221810"/>
      </dsp:txXfrm>
    </dsp:sp>
    <dsp:sp modelId="{93EFDB1A-CEE5-41F5-BD3C-B979299E1EE3}">
      <dsp:nvSpPr>
        <dsp:cNvPr id="5" name="圆角矩形 4"/>
        <dsp:cNvSpPr/>
      </dsp:nvSpPr>
      <dsp:spPr bwMode="white">
        <a:xfrm>
          <a:off x="0" y="772850"/>
          <a:ext cx="4381500" cy="492911"/>
        </a:xfrm>
        <a:prstGeom prst="roundRect">
          <a:avLst>
            <a:gd name="adj" fmla="val 10000"/>
          </a:avLst>
        </a:prstGeom>
      </dsp:spPr>
      <dsp:style>
        <a:lnRef idx="2">
          <a:schemeClr val="dk1">
            <a:shade val="80000"/>
          </a:schemeClr>
        </a:lnRef>
        <a:fillRef idx="1">
          <a:schemeClr val="lt1"/>
        </a:fillRef>
        <a:effectRef idx="0">
          <a:scrgbClr r="0" g="0" b="0"/>
        </a:effectRef>
        <a:fontRef idx="minor">
          <a:schemeClr val="lt1"/>
        </a:fontRef>
      </dsp:style>
      <dsp:txBody>
        <a:bodyPr lIns="60960" tIns="60960" rIns="60960" bIns="609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600">
              <a:solidFill>
                <a:schemeClr val="dk1"/>
              </a:solidFill>
              <a:latin typeface="仿宋" panose="02010609060101010101" pitchFamily="3" charset="-122"/>
              <a:ea typeface="仿宋" panose="02010609060101010101" pitchFamily="3" charset="-122"/>
            </a:rPr>
            <a:t>研究生提交申请材料</a:t>
          </a:r>
          <a:endParaRPr>
            <a:solidFill>
              <a:schemeClr val="dk1"/>
            </a:solidFill>
          </a:endParaRPr>
        </a:p>
      </dsp:txBody>
      <dsp:txXfrm>
        <a:off x="0" y="772850"/>
        <a:ext cx="4381500" cy="492911"/>
      </dsp:txXfrm>
    </dsp:sp>
    <dsp:sp modelId="{D4B190F9-BEFC-44F5-8023-F8C076F52964}">
      <dsp:nvSpPr>
        <dsp:cNvPr id="6" name="右箭头 5"/>
        <dsp:cNvSpPr/>
      </dsp:nvSpPr>
      <dsp:spPr bwMode="white">
        <a:xfrm rot="5399999">
          <a:off x="2098329" y="1278083"/>
          <a:ext cx="184842" cy="221810"/>
        </a:xfrm>
        <a:prstGeom prst="rightArrow">
          <a:avLst>
            <a:gd name="adj1" fmla="val 60000"/>
            <a:gd name="adj2" fmla="val 50000"/>
          </a:avLst>
        </a:prstGeom>
        <a:solidFill>
          <a:schemeClr val="bg1"/>
        </a:solidFill>
        <a:ln>
          <a:solidFill>
            <a:schemeClr val="tx1"/>
          </a:solidFill>
        </a:ln>
      </dsp:spPr>
      <dsp:style>
        <a:lnRef idx="0">
          <a:schemeClr val="dk1">
            <a:tint val="60000"/>
          </a:schemeClr>
        </a:lnRef>
        <a:fillRef idx="1">
          <a:schemeClr val="dk1">
            <a:tint val="60000"/>
          </a:schemeClr>
        </a:fillRef>
        <a:effectRef idx="0">
          <a:scrgbClr r="0" g="0" b="0"/>
        </a:effectRef>
        <a:fontRef idx="minor">
          <a:schemeClr val="lt1"/>
        </a:fontRef>
      </dsp:style>
      <dsp:txBody>
        <a:bodyPr rot="-5400000" anchor="ctr"/>
        <a:lstStyle>
          <a:lvl1pPr algn="ctr"/>
          <a:lvl2pPr algn="ctr"/>
          <a:lvl3pPr algn="ctr"/>
          <a:lvl4pPr algn="ctr"/>
          <a:lvl5pPr algn="ctr"/>
          <a:lvl6pPr algn="ctr"/>
          <a:lvl7pPr algn="ctr"/>
          <a:lvl8pPr algn="ctr"/>
          <a:lvl9pPr algn="ctr"/>
        </a:lstStyle>
        <a:p>
          <a:pPr lvl="0">
            <a:lnSpc>
              <a:spcPct val="100000"/>
            </a:lnSpc>
            <a:spcBef>
              <a:spcPct val="0"/>
            </a:spcBef>
            <a:spcAft>
              <a:spcPct val="35000"/>
            </a:spcAft>
          </a:pPr>
          <a:endParaRPr lang="zh-CN" altLang="en-US" sz="1600">
            <a:solidFill>
              <a:schemeClr val="dk1"/>
            </a:solidFill>
            <a:latin typeface="仿宋" panose="02010609060101010101" pitchFamily="3" charset="-122"/>
            <a:ea typeface="仿宋" panose="02010609060101010101" pitchFamily="3" charset="-122"/>
          </a:endParaRPr>
        </a:p>
      </dsp:txBody>
      <dsp:txXfrm rot="5399999">
        <a:off x="2098329" y="1278083"/>
        <a:ext cx="184842" cy="221810"/>
      </dsp:txXfrm>
    </dsp:sp>
    <dsp:sp modelId="{127752C8-79EA-4432-89F2-7FE838767401}">
      <dsp:nvSpPr>
        <dsp:cNvPr id="7" name="圆角矩形 6"/>
        <dsp:cNvSpPr/>
      </dsp:nvSpPr>
      <dsp:spPr bwMode="white">
        <a:xfrm>
          <a:off x="0" y="1512216"/>
          <a:ext cx="4381500" cy="492911"/>
        </a:xfrm>
        <a:prstGeom prst="roundRect">
          <a:avLst>
            <a:gd name="adj" fmla="val 10000"/>
          </a:avLst>
        </a:prstGeom>
      </dsp:spPr>
      <dsp:style>
        <a:lnRef idx="2">
          <a:schemeClr val="dk1">
            <a:shade val="80000"/>
          </a:schemeClr>
        </a:lnRef>
        <a:fillRef idx="1">
          <a:schemeClr val="lt1"/>
        </a:fillRef>
        <a:effectRef idx="0">
          <a:scrgbClr r="0" g="0" b="0"/>
        </a:effectRef>
        <a:fontRef idx="minor">
          <a:schemeClr val="lt1"/>
        </a:fontRef>
      </dsp:style>
      <dsp:txBody>
        <a:bodyPr lIns="60960" tIns="60960" rIns="60960" bIns="609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600">
              <a:solidFill>
                <a:schemeClr val="dk1"/>
              </a:solidFill>
              <a:latin typeface="仿宋" panose="02010609060101010101" pitchFamily="3" charset="-122"/>
              <a:ea typeface="仿宋" panose="02010609060101010101" pitchFamily="3" charset="-122"/>
            </a:rPr>
            <a:t>学部审定材料</a:t>
          </a:r>
          <a:endParaRPr>
            <a:solidFill>
              <a:schemeClr val="dk1"/>
            </a:solidFill>
          </a:endParaRPr>
        </a:p>
      </dsp:txBody>
      <dsp:txXfrm>
        <a:off x="0" y="1512216"/>
        <a:ext cx="4381500" cy="492911"/>
      </dsp:txXfrm>
    </dsp:sp>
    <dsp:sp modelId="{AB5C83FD-1A44-4A74-8EED-1457A001D2FD}">
      <dsp:nvSpPr>
        <dsp:cNvPr id="8" name="右箭头 7"/>
        <dsp:cNvSpPr/>
      </dsp:nvSpPr>
      <dsp:spPr bwMode="white">
        <a:xfrm rot="5399999">
          <a:off x="2098329" y="2017450"/>
          <a:ext cx="184842" cy="221810"/>
        </a:xfrm>
        <a:prstGeom prst="rightArrow">
          <a:avLst>
            <a:gd name="adj1" fmla="val 60000"/>
            <a:gd name="adj2" fmla="val 50000"/>
          </a:avLst>
        </a:prstGeom>
        <a:solidFill>
          <a:schemeClr val="bg1"/>
        </a:solidFill>
        <a:ln>
          <a:solidFill>
            <a:schemeClr val="tx1"/>
          </a:solidFill>
        </a:ln>
      </dsp:spPr>
      <dsp:style>
        <a:lnRef idx="0">
          <a:schemeClr val="dk1">
            <a:tint val="60000"/>
          </a:schemeClr>
        </a:lnRef>
        <a:fillRef idx="1">
          <a:schemeClr val="dk1">
            <a:tint val="60000"/>
          </a:schemeClr>
        </a:fillRef>
        <a:effectRef idx="0">
          <a:scrgbClr r="0" g="0" b="0"/>
        </a:effectRef>
        <a:fontRef idx="minor">
          <a:schemeClr val="lt1"/>
        </a:fontRef>
      </dsp:style>
      <dsp:txBody>
        <a:bodyPr rot="-5400000" anchor="ctr"/>
        <a:lstStyle>
          <a:lvl1pPr algn="ctr"/>
          <a:lvl2pPr algn="ctr"/>
          <a:lvl3pPr algn="ctr"/>
          <a:lvl4pPr algn="ctr"/>
          <a:lvl5pPr algn="ctr"/>
          <a:lvl6pPr algn="ctr"/>
          <a:lvl7pPr algn="ctr"/>
          <a:lvl8pPr algn="ctr"/>
          <a:lvl9pPr algn="ctr"/>
        </a:lstStyle>
        <a:p>
          <a:pPr lvl="0">
            <a:lnSpc>
              <a:spcPct val="100000"/>
            </a:lnSpc>
            <a:spcBef>
              <a:spcPct val="0"/>
            </a:spcBef>
            <a:spcAft>
              <a:spcPct val="35000"/>
            </a:spcAft>
          </a:pPr>
          <a:endParaRPr lang="zh-CN" altLang="en-US" sz="1600">
            <a:solidFill>
              <a:schemeClr val="dk1"/>
            </a:solidFill>
            <a:latin typeface="仿宋" panose="02010609060101010101" pitchFamily="3" charset="-122"/>
            <a:ea typeface="仿宋" panose="02010609060101010101" pitchFamily="3" charset="-122"/>
          </a:endParaRPr>
        </a:p>
      </dsp:txBody>
      <dsp:txXfrm rot="5399999">
        <a:off x="2098329" y="2017450"/>
        <a:ext cx="184842" cy="221810"/>
      </dsp:txXfrm>
    </dsp:sp>
    <dsp:sp modelId="{9EA533B8-4623-4401-9333-95614E251A6A}">
      <dsp:nvSpPr>
        <dsp:cNvPr id="9" name="圆角矩形 8"/>
        <dsp:cNvSpPr/>
      </dsp:nvSpPr>
      <dsp:spPr bwMode="white">
        <a:xfrm>
          <a:off x="0" y="2251582"/>
          <a:ext cx="4381500" cy="492911"/>
        </a:xfrm>
        <a:prstGeom prst="roundRect">
          <a:avLst>
            <a:gd name="adj" fmla="val 10000"/>
          </a:avLst>
        </a:prstGeom>
      </dsp:spPr>
      <dsp:style>
        <a:lnRef idx="2">
          <a:schemeClr val="dk1">
            <a:shade val="80000"/>
          </a:schemeClr>
        </a:lnRef>
        <a:fillRef idx="1">
          <a:schemeClr val="lt1"/>
        </a:fillRef>
        <a:effectRef idx="0">
          <a:scrgbClr r="0" g="0" b="0"/>
        </a:effectRef>
        <a:fontRef idx="minor">
          <a:schemeClr val="lt1"/>
        </a:fontRef>
      </dsp:style>
      <dsp:txBody>
        <a:bodyPr lIns="60960" tIns="60960" rIns="60960" bIns="609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600">
              <a:solidFill>
                <a:schemeClr val="dk1"/>
              </a:solidFill>
              <a:latin typeface="仿宋" panose="02010609060101010101" pitchFamily="3" charset="-122"/>
              <a:ea typeface="仿宋" panose="02010609060101010101" pitchFamily="3" charset="-122"/>
            </a:rPr>
            <a:t>学部公开答辩</a:t>
          </a:r>
          <a:endParaRPr>
            <a:solidFill>
              <a:schemeClr val="dk1"/>
            </a:solidFill>
          </a:endParaRPr>
        </a:p>
      </dsp:txBody>
      <dsp:txXfrm>
        <a:off x="0" y="2251582"/>
        <a:ext cx="4381500" cy="492911"/>
      </dsp:txXfrm>
    </dsp:sp>
    <dsp:sp modelId="{AA99ED46-7A51-43D0-8295-19C6AE2D2DBB}">
      <dsp:nvSpPr>
        <dsp:cNvPr id="10" name="右箭头 9"/>
        <dsp:cNvSpPr/>
      </dsp:nvSpPr>
      <dsp:spPr bwMode="white">
        <a:xfrm rot="5399999">
          <a:off x="2098329" y="2756816"/>
          <a:ext cx="184842" cy="221810"/>
        </a:xfrm>
        <a:prstGeom prst="rightArrow">
          <a:avLst>
            <a:gd name="adj1" fmla="val 60000"/>
            <a:gd name="adj2" fmla="val 50000"/>
          </a:avLst>
        </a:prstGeom>
        <a:solidFill>
          <a:schemeClr val="bg1"/>
        </a:solidFill>
        <a:ln>
          <a:solidFill>
            <a:schemeClr val="tx1"/>
          </a:solidFill>
        </a:ln>
      </dsp:spPr>
      <dsp:style>
        <a:lnRef idx="0">
          <a:schemeClr val="dk1">
            <a:tint val="60000"/>
          </a:schemeClr>
        </a:lnRef>
        <a:fillRef idx="1">
          <a:schemeClr val="dk1">
            <a:tint val="60000"/>
          </a:schemeClr>
        </a:fillRef>
        <a:effectRef idx="0">
          <a:scrgbClr r="0" g="0" b="0"/>
        </a:effectRef>
        <a:fontRef idx="minor">
          <a:schemeClr val="lt1"/>
        </a:fontRef>
      </dsp:style>
      <dsp:txBody>
        <a:bodyPr rot="-5400000" anchor="ctr"/>
        <a:lstStyle>
          <a:lvl1pPr algn="ctr"/>
          <a:lvl2pPr algn="ctr"/>
          <a:lvl3pPr algn="ctr"/>
          <a:lvl4pPr algn="ctr"/>
          <a:lvl5pPr algn="ctr"/>
          <a:lvl6pPr algn="ctr"/>
          <a:lvl7pPr algn="ctr"/>
          <a:lvl8pPr algn="ctr"/>
          <a:lvl9pPr algn="ctr"/>
        </a:lstStyle>
        <a:p>
          <a:pPr lvl="0">
            <a:lnSpc>
              <a:spcPct val="100000"/>
            </a:lnSpc>
            <a:spcBef>
              <a:spcPct val="0"/>
            </a:spcBef>
            <a:spcAft>
              <a:spcPct val="35000"/>
            </a:spcAft>
          </a:pPr>
          <a:endParaRPr lang="zh-CN" altLang="en-US" sz="1600">
            <a:solidFill>
              <a:schemeClr val="dk1"/>
            </a:solidFill>
            <a:latin typeface="仿宋" panose="02010609060101010101" pitchFamily="3" charset="-122"/>
            <a:ea typeface="仿宋" panose="02010609060101010101" pitchFamily="3" charset="-122"/>
          </a:endParaRPr>
        </a:p>
      </dsp:txBody>
      <dsp:txXfrm rot="5399999">
        <a:off x="2098329" y="2756816"/>
        <a:ext cx="184842" cy="221810"/>
      </dsp:txXfrm>
    </dsp:sp>
    <dsp:sp modelId="{25EB187A-C79D-4027-9965-2CA031992A0B}">
      <dsp:nvSpPr>
        <dsp:cNvPr id="11" name="圆角矩形 10"/>
        <dsp:cNvSpPr/>
      </dsp:nvSpPr>
      <dsp:spPr bwMode="white">
        <a:xfrm>
          <a:off x="0" y="2990949"/>
          <a:ext cx="4381500" cy="542202"/>
        </a:xfrm>
        <a:prstGeom prst="roundRect">
          <a:avLst>
            <a:gd name="adj" fmla="val 10000"/>
          </a:avLst>
        </a:prstGeom>
      </dsp:spPr>
      <dsp:style>
        <a:lnRef idx="2">
          <a:schemeClr val="dk1">
            <a:shade val="80000"/>
          </a:schemeClr>
        </a:lnRef>
        <a:fillRef idx="1">
          <a:schemeClr val="lt1"/>
        </a:fillRef>
        <a:effectRef idx="0">
          <a:scrgbClr r="0" g="0" b="0"/>
        </a:effectRef>
        <a:fontRef idx="minor">
          <a:schemeClr val="lt1"/>
        </a:fontRef>
      </dsp:style>
      <dsp:txBody>
        <a:bodyPr lIns="60960" tIns="60960" rIns="60960" bIns="609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600">
              <a:solidFill>
                <a:schemeClr val="dk1"/>
              </a:solidFill>
              <a:latin typeface="仿宋" panose="02010609060101010101" pitchFamily="3" charset="-122"/>
              <a:ea typeface="仿宋" panose="02010609060101010101" pitchFamily="3" charset="-122"/>
            </a:rPr>
            <a:t>研究生国家奖学金评审委员会审议，确定评定结果</a:t>
          </a:r>
          <a:endParaRPr>
            <a:solidFill>
              <a:schemeClr val="dk1"/>
            </a:solidFill>
          </a:endParaRPr>
        </a:p>
      </dsp:txBody>
      <dsp:txXfrm>
        <a:off x="0" y="2990949"/>
        <a:ext cx="4381500" cy="542202"/>
      </dsp:txXfrm>
    </dsp:sp>
    <dsp:sp modelId="{5C9A839A-3F40-48E5-8C61-C9485DF40566}">
      <dsp:nvSpPr>
        <dsp:cNvPr id="12" name="右箭头 11"/>
        <dsp:cNvSpPr/>
      </dsp:nvSpPr>
      <dsp:spPr bwMode="white">
        <a:xfrm rot="5399999">
          <a:off x="2098329" y="3545474"/>
          <a:ext cx="184842" cy="221810"/>
        </a:xfrm>
        <a:prstGeom prst="rightArrow">
          <a:avLst>
            <a:gd name="adj1" fmla="val 60000"/>
            <a:gd name="adj2" fmla="val 50000"/>
          </a:avLst>
        </a:prstGeom>
        <a:solidFill>
          <a:schemeClr val="bg1"/>
        </a:solidFill>
        <a:ln>
          <a:solidFill>
            <a:schemeClr val="tx1"/>
          </a:solidFill>
        </a:ln>
      </dsp:spPr>
      <dsp:style>
        <a:lnRef idx="0">
          <a:schemeClr val="dk1">
            <a:tint val="60000"/>
          </a:schemeClr>
        </a:lnRef>
        <a:fillRef idx="1">
          <a:schemeClr val="dk1">
            <a:tint val="60000"/>
          </a:schemeClr>
        </a:fillRef>
        <a:effectRef idx="0">
          <a:scrgbClr r="0" g="0" b="0"/>
        </a:effectRef>
        <a:fontRef idx="minor">
          <a:schemeClr val="lt1"/>
        </a:fontRef>
      </dsp:style>
      <dsp:txBody>
        <a:bodyPr rot="-5400000" anchor="ctr"/>
        <a:lstStyle>
          <a:lvl1pPr algn="ctr"/>
          <a:lvl2pPr algn="ctr"/>
          <a:lvl3pPr algn="ctr"/>
          <a:lvl4pPr algn="ctr"/>
          <a:lvl5pPr algn="ctr"/>
          <a:lvl6pPr algn="ctr"/>
          <a:lvl7pPr algn="ctr"/>
          <a:lvl8pPr algn="ctr"/>
          <a:lvl9pPr algn="ctr"/>
        </a:lstStyle>
        <a:p>
          <a:pPr lvl="0">
            <a:lnSpc>
              <a:spcPct val="100000"/>
            </a:lnSpc>
            <a:spcBef>
              <a:spcPct val="0"/>
            </a:spcBef>
            <a:spcAft>
              <a:spcPct val="35000"/>
            </a:spcAft>
          </a:pPr>
          <a:endParaRPr lang="zh-CN" altLang="en-US" sz="1600">
            <a:solidFill>
              <a:schemeClr val="dk1"/>
            </a:solidFill>
            <a:latin typeface="仿宋" panose="02010609060101010101" pitchFamily="3" charset="-122"/>
            <a:ea typeface="仿宋" panose="02010609060101010101" pitchFamily="3" charset="-122"/>
          </a:endParaRPr>
        </a:p>
      </dsp:txBody>
      <dsp:txXfrm rot="5399999">
        <a:off x="2098329" y="3545474"/>
        <a:ext cx="184842" cy="221810"/>
      </dsp:txXfrm>
    </dsp:sp>
    <dsp:sp modelId="{A54C0A5B-DF21-4FDA-A27E-9413EDF5242B}">
      <dsp:nvSpPr>
        <dsp:cNvPr id="13" name="圆角矩形 12"/>
        <dsp:cNvSpPr/>
      </dsp:nvSpPr>
      <dsp:spPr bwMode="white">
        <a:xfrm>
          <a:off x="0" y="3779606"/>
          <a:ext cx="4381500" cy="492911"/>
        </a:xfrm>
        <a:prstGeom prst="roundRect">
          <a:avLst>
            <a:gd name="adj" fmla="val 10000"/>
          </a:avLst>
        </a:prstGeom>
      </dsp:spPr>
      <dsp:style>
        <a:lnRef idx="2">
          <a:schemeClr val="dk1">
            <a:shade val="80000"/>
          </a:schemeClr>
        </a:lnRef>
        <a:fillRef idx="1">
          <a:schemeClr val="lt1"/>
        </a:fillRef>
        <a:effectRef idx="0">
          <a:scrgbClr r="0" g="0" b="0"/>
        </a:effectRef>
        <a:fontRef idx="minor">
          <a:schemeClr val="lt1"/>
        </a:fontRef>
      </dsp:style>
      <dsp:txBody>
        <a:bodyPr lIns="60960" tIns="60960" rIns="60960" bIns="609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600">
              <a:solidFill>
                <a:schemeClr val="dk1"/>
              </a:solidFill>
              <a:latin typeface="仿宋" panose="02010609060101010101" pitchFamily="3" charset="-122"/>
              <a:ea typeface="仿宋" panose="02010609060101010101" pitchFamily="3" charset="-122"/>
            </a:rPr>
            <a:t>结果公示</a:t>
          </a:r>
          <a:endParaRPr>
            <a:solidFill>
              <a:schemeClr val="dk1"/>
            </a:solidFill>
          </a:endParaRPr>
        </a:p>
      </dsp:txBody>
      <dsp:txXfrm>
        <a:off x="0" y="3779606"/>
        <a:ext cx="4381500" cy="492911"/>
      </dsp:txXfrm>
    </dsp:sp>
    <dsp:sp modelId="{70723B86-34E6-4C91-ABF8-ECDE2254F061}">
      <dsp:nvSpPr>
        <dsp:cNvPr id="14" name="右箭头 13"/>
        <dsp:cNvSpPr/>
      </dsp:nvSpPr>
      <dsp:spPr bwMode="white">
        <a:xfrm rot="6020325">
          <a:off x="2110885" y="4268098"/>
          <a:ext cx="159729" cy="221810"/>
        </a:xfrm>
        <a:prstGeom prst="rightArrow">
          <a:avLst>
            <a:gd name="adj1" fmla="val 60000"/>
            <a:gd name="adj2" fmla="val 50000"/>
          </a:avLst>
        </a:prstGeom>
        <a:solidFill>
          <a:schemeClr val="bg1"/>
        </a:solidFill>
        <a:ln>
          <a:solidFill>
            <a:schemeClr val="tx1"/>
          </a:solidFill>
        </a:ln>
      </dsp:spPr>
      <dsp:style>
        <a:lnRef idx="0">
          <a:schemeClr val="dk1">
            <a:tint val="60000"/>
          </a:schemeClr>
        </a:lnRef>
        <a:fillRef idx="1">
          <a:schemeClr val="dk1">
            <a:tint val="60000"/>
          </a:schemeClr>
        </a:fillRef>
        <a:effectRef idx="0">
          <a:scrgbClr r="0" g="0" b="0"/>
        </a:effectRef>
        <a:fontRef idx="minor">
          <a:schemeClr val="lt1"/>
        </a:fontRef>
      </dsp:style>
      <dsp:txBody>
        <a:bodyPr rot="-5400000" anchor="ctr"/>
        <a:lstStyle>
          <a:lvl1pPr algn="ctr"/>
          <a:lvl2pPr algn="ctr"/>
          <a:lvl3pPr algn="ctr"/>
          <a:lvl4pPr algn="ctr"/>
          <a:lvl5pPr algn="ctr"/>
          <a:lvl6pPr algn="ctr"/>
          <a:lvl7pPr algn="ctr"/>
          <a:lvl8pPr algn="ctr"/>
          <a:lvl9pPr algn="ctr"/>
        </a:lstStyle>
        <a:p>
          <a:pPr lvl="0">
            <a:lnSpc>
              <a:spcPct val="100000"/>
            </a:lnSpc>
            <a:spcBef>
              <a:spcPct val="0"/>
            </a:spcBef>
            <a:spcAft>
              <a:spcPct val="35000"/>
            </a:spcAft>
          </a:pPr>
          <a:endParaRPr lang="zh-CN" altLang="en-US" sz="1600">
            <a:solidFill>
              <a:schemeClr val="dk1"/>
            </a:solidFill>
            <a:latin typeface="仿宋" panose="02010609060101010101" pitchFamily="3" charset="-122"/>
            <a:ea typeface="仿宋" panose="02010609060101010101" pitchFamily="3" charset="-122"/>
          </a:endParaRPr>
        </a:p>
      </dsp:txBody>
      <dsp:txXfrm rot="6020325">
        <a:off x="2110885" y="4268098"/>
        <a:ext cx="159729" cy="221810"/>
      </dsp:txXfrm>
    </dsp:sp>
    <dsp:sp modelId="{182638E0-1621-4DB2-BA02-ACFD70E31DD9}">
      <dsp:nvSpPr>
        <dsp:cNvPr id="15" name="圆角矩形 14"/>
        <dsp:cNvSpPr/>
      </dsp:nvSpPr>
      <dsp:spPr bwMode="white">
        <a:xfrm>
          <a:off x="0" y="4485489"/>
          <a:ext cx="4381500" cy="492911"/>
        </a:xfrm>
        <a:prstGeom prst="roundRect">
          <a:avLst>
            <a:gd name="adj" fmla="val 10000"/>
          </a:avLst>
        </a:prstGeom>
      </dsp:spPr>
      <dsp:style>
        <a:lnRef idx="2">
          <a:schemeClr val="dk1">
            <a:shade val="80000"/>
          </a:schemeClr>
        </a:lnRef>
        <a:fillRef idx="1">
          <a:schemeClr val="lt1"/>
        </a:fillRef>
        <a:effectRef idx="0">
          <a:scrgbClr r="0" g="0" b="0"/>
        </a:effectRef>
        <a:fontRef idx="minor">
          <a:schemeClr val="lt1"/>
        </a:fontRef>
      </dsp:style>
      <dsp:txBody>
        <a:bodyPr lIns="60960" tIns="60960" rIns="60960" bIns="609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600">
              <a:solidFill>
                <a:schemeClr val="dk1"/>
              </a:solidFill>
              <a:latin typeface="仿宋" panose="02010609060101010101" pitchFamily="3" charset="-122"/>
              <a:ea typeface="仿宋" panose="02010609060101010101" pitchFamily="3" charset="-122"/>
            </a:rPr>
            <a:t>上报学校</a:t>
          </a:r>
          <a:endParaRPr>
            <a:solidFill>
              <a:schemeClr val="dk1"/>
            </a:solidFill>
          </a:endParaRPr>
        </a:p>
      </dsp:txBody>
      <dsp:txXfrm>
        <a:off x="0" y="4485489"/>
        <a:ext cx="4381500" cy="49291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10AAA3EF-A1FC-48AA-87FF-04A5D65EBE99}">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3311</Words>
  <Characters>3415</Characters>
  <Lines>25</Lines>
  <Paragraphs>7</Paragraphs>
  <TotalTime>4</TotalTime>
  <ScaleCrop>false</ScaleCrop>
  <LinksUpToDate>false</LinksUpToDate>
  <CharactersWithSpaces>3417</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2026-07-09T16:10:00Z</dcterms:created>
  <dc:creator>lenovo</dc:creator>
  <cp:lastModifiedBy>吕锐</cp:lastModifiedBy>
  <dcterms:modified xsi:type="dcterms:W3CDTF">2026-09-10T12:12:53Z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2026-03-20T00:00:00Z</vt:filetime>
  </property>
  <property fmtid="{D5CDD505-2E9C-101B-9397-08002B2CF9AE}" pid="3" name="Creator">
    <vt:lpwstr>PDFium</vt:lpwstr>
  </property>
  <property fmtid="{D5CDD505-2E9C-101B-9397-08002B2CF9AE}" pid="4" name="LastSaved">
    <vt:filetime>2026-07-08T00:00:00Z</vt:filetime>
  </property>
  <property fmtid="{D5CDD505-2E9C-101B-9397-08002B2CF9AE}" pid="5" name="Producer">
    <vt:lpwstr>3-Heights(TM) PDF Security Shell 4.8.25.2 (http://www.pdf-tools.com)</vt:lpwstr>
  </property>
  <property fmtid="{D5CDD505-2E9C-101B-9397-08002B2CF9AE}" pid="6" name="KSOTemplateDocerSaveRecord">
    <vt:lpwstr>eyJoZGlkIjoiYjU4NzE1NzRjOWVjYjBiNjg5MThhYjJkODBkOTY2OTMiLCJ1c2VySWQiOiIxNjcxODUyNDQxIn0=</vt:lpwstr>
  </property>
  <property fmtid="{D5CDD505-2E9C-101B-9397-08002B2CF9AE}" pid="7" name="KSOProductBuildVer">
    <vt:lpwstr>2052-12.1.26026.26026</vt:lpwstr>
  </property>
  <property fmtid="{D5CDD505-2E9C-101B-9397-08002B2CF9AE}" pid="8" name="ICV">
    <vt:lpwstr>617B7B2CA041A3D6452EA26A56FFBAD9_43</vt:lpwstr>
  </property>
</Properties>
</file>